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header3.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media/image2.png" ContentType="image/png"/>
  <Override PartName="/word/media/image1.wmf" ContentType="image/x-wmf"/>
  <Override PartName="/word/header2.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jc w:val="center"/>
        <w:rPr>
          <w:rFonts w:ascii="Calibri" w:hAnsi="Calibri"/>
        </w:rPr>
      </w:pPr>
      <w:r>
        <w:rPr>
          <w:rFonts w:cs="Arial" w:ascii="Calibri" w:hAnsi="Calibri"/>
          <w:b w:val="false"/>
          <w:bCs w:val="false"/>
          <w:color w:val="000000"/>
          <w:sz w:val="36"/>
          <w:szCs w:val="36"/>
        </w:rPr>
        <w:t>Aviso de</w:t>
      </w:r>
    </w:p>
    <w:p>
      <w:pPr>
        <w:pStyle w:val="Normal"/>
        <w:jc w:val="center"/>
        <w:rPr>
          <w:rFonts w:ascii="Calibri" w:hAnsi="Calibri"/>
        </w:rPr>
      </w:pPr>
      <w:r>
        <w:rPr>
          <w:rFonts w:cs="Arial" w:ascii="Calibri" w:hAnsi="Calibri"/>
          <w:b w:val="false"/>
          <w:bCs w:val="false"/>
          <w:color w:val="405CA1"/>
          <w:sz w:val="56"/>
          <w:szCs w:val="56"/>
        </w:rPr>
        <w:t>CONTRATAÇÃO DIRETA</w:t>
      </w:r>
    </w:p>
    <w:p>
      <w:pPr>
        <w:pStyle w:val="Normal"/>
        <w:jc w:val="center"/>
        <w:rPr>
          <w:rFonts w:ascii="Calibri" w:hAnsi="Calibri"/>
        </w:rPr>
      </w:pPr>
      <w:r>
        <w:rPr>
          <w:rFonts w:cs="Arial" w:ascii="Calibri" w:hAnsi="Calibri"/>
          <w:b w:val="false"/>
          <w:bCs w:val="false"/>
          <w:color w:val="000000"/>
          <w:sz w:val="28"/>
          <w:szCs w:val="28"/>
          <w:highlight w:val="white"/>
        </w:rPr>
        <w:t>07/2023</w:t>
      </w:r>
    </w:p>
    <w:p>
      <w:pPr>
        <w:pStyle w:val="Normal"/>
        <w:spacing w:lineRule="auto" w:line="259"/>
        <w:rPr>
          <w:rFonts w:ascii="Calibri" w:hAnsi="Calibri" w:cs="Arial"/>
          <w:b w:val="false"/>
          <w:b w:val="false"/>
          <w:bCs w:val="false"/>
          <w:color w:val="405CA1"/>
          <w:sz w:val="32"/>
          <w:szCs w:val="32"/>
        </w:rPr>
      </w:pPr>
      <w:r>
        <w:rPr>
          <w:rFonts w:cs="Arial" w:ascii="Calibri" w:hAnsi="Calibri"/>
          <w:b w:val="false"/>
          <w:bCs w:val="false"/>
          <w:color w:val="405CA1"/>
          <w:sz w:val="32"/>
          <w:szCs w:val="32"/>
        </w:rPr>
      </w:r>
    </w:p>
    <w:p>
      <w:pPr>
        <w:pStyle w:val="Normal"/>
        <w:spacing w:lineRule="auto" w:line="259"/>
        <w:rPr>
          <w:rFonts w:cs="Arial"/>
          <w:b/>
          <w:b/>
          <w:bCs/>
          <w:color w:val="405CA1"/>
          <w:sz w:val="32"/>
          <w:szCs w:val="32"/>
        </w:rPr>
      </w:pPr>
      <w:r>
        <w:rPr>
          <w:rFonts w:cs="Arial" w:ascii="Calibri" w:hAnsi="Calibri"/>
          <w:b w:val="false"/>
          <w:bCs w:val="false"/>
          <w:color w:val="405CA1"/>
          <w:sz w:val="32"/>
          <w:szCs w:val="32"/>
        </w:rPr>
        <w:t>CONTRATANTE (UASG)</w:t>
      </w:r>
    </w:p>
    <w:p>
      <w:pPr>
        <w:pStyle w:val="Normal"/>
        <w:rPr>
          <w:rFonts w:cs="Arial"/>
          <w:bCs/>
          <w:color w:val="5B5B5F"/>
          <w:sz w:val="28"/>
          <w:szCs w:val="28"/>
        </w:rPr>
      </w:pPr>
      <w:r>
        <w:rPr>
          <w:rFonts w:cs="Arial" w:ascii="Calibri" w:hAnsi="Calibri"/>
          <w:b w:val="false"/>
          <w:bCs w:val="false"/>
          <w:color w:val="000000"/>
          <w:sz w:val="28"/>
          <w:szCs w:val="28"/>
        </w:rPr>
        <w:t>Centro de Intendência da Marinha em Parada de Lucas (CeIMPL)</w:t>
      </w:r>
    </w:p>
    <w:p>
      <w:pPr>
        <w:pStyle w:val="Normal"/>
        <w:rPr>
          <w:rFonts w:ascii="Calibri" w:hAnsi="Calibri" w:cs="Arial"/>
          <w:b w:val="false"/>
          <w:b w:val="false"/>
          <w:bCs w:val="false"/>
          <w:color w:val="405CA1"/>
          <w:sz w:val="32"/>
          <w:szCs w:val="32"/>
        </w:rPr>
      </w:pPr>
      <w:r>
        <w:rPr>
          <w:rFonts w:cs="Arial" w:ascii="Calibri" w:hAnsi="Calibri"/>
          <w:b w:val="false"/>
          <w:bCs w:val="false"/>
          <w:color w:val="405CA1"/>
          <w:sz w:val="32"/>
          <w:szCs w:val="32"/>
        </w:rPr>
      </w:r>
    </w:p>
    <w:p>
      <w:pPr>
        <w:pStyle w:val="Normal"/>
        <w:rPr>
          <w:rFonts w:cs="Arial"/>
          <w:b/>
          <w:b/>
          <w:bCs/>
          <w:color w:val="5B5B5F"/>
          <w:szCs w:val="20"/>
        </w:rPr>
      </w:pPr>
      <w:r>
        <w:rPr>
          <w:rFonts w:cs="Arial" w:ascii="Calibri" w:hAnsi="Calibri"/>
          <w:b w:val="false"/>
          <w:bCs w:val="false"/>
          <w:color w:val="405CA1"/>
          <w:sz w:val="32"/>
          <w:szCs w:val="32"/>
        </w:rPr>
        <w:t>OBJETO</w:t>
      </w:r>
    </w:p>
    <w:p>
      <w:pPr>
        <w:pStyle w:val="Normal"/>
        <w:jc w:val="both"/>
        <w:rPr>
          <w:rFonts w:cs="Arial"/>
          <w:color w:val="000000"/>
          <w:sz w:val="28"/>
          <w:szCs w:val="28"/>
        </w:rPr>
      </w:pPr>
      <w:r>
        <w:rPr>
          <w:rFonts w:cs="Arial" w:ascii="Calibri" w:hAnsi="Calibri"/>
          <w:b w:val="false"/>
          <w:bCs w:val="false"/>
          <w:sz w:val="28"/>
          <w:szCs w:val="28"/>
        </w:rPr>
        <w:t xml:space="preserve">Contratação de </w:t>
      </w:r>
      <w:r>
        <w:rPr>
          <w:rFonts w:cs="Arial" w:ascii="Calibri" w:hAnsi="Calibri"/>
          <w:b w:val="false"/>
          <w:bCs w:val="false"/>
          <w:color w:val="000000"/>
          <w:sz w:val="28"/>
          <w:szCs w:val="28"/>
        </w:rPr>
        <w:t xml:space="preserve">Serviço de Engenharia visando a elaboração de Projeto de Arquitetura e Projetos Complementares, Orçamentos, Cronograma Físico-Financeiro </w:t>
      </w:r>
      <w:r>
        <w:rPr>
          <w:rFonts w:cs="Arial" w:ascii="Calibri" w:hAnsi="Calibri"/>
          <w:b w:val="false"/>
          <w:bCs w:val="false"/>
          <w:sz w:val="28"/>
          <w:szCs w:val="28"/>
        </w:rPr>
        <w:t>e demais documentos</w:t>
      </w:r>
      <w:r>
        <w:rPr>
          <w:rFonts w:cs="Arial" w:ascii="Calibri" w:hAnsi="Calibri"/>
          <w:b w:val="false"/>
          <w:bCs w:val="false"/>
          <w:color w:val="000000"/>
          <w:sz w:val="28"/>
          <w:szCs w:val="28"/>
        </w:rPr>
        <w:t xml:space="preserve"> necessários à contratação das obras de modernização da Divisão de Municiamento do CeIMPL.</w:t>
      </w:r>
    </w:p>
    <w:p>
      <w:pPr>
        <w:pStyle w:val="Normal"/>
        <w:rPr>
          <w:rFonts w:ascii="Calibri" w:hAnsi="Calibri" w:cs="Arial"/>
          <w:b w:val="false"/>
          <w:b w:val="false"/>
          <w:bCs w:val="false"/>
          <w:color w:val="5B5B5F"/>
          <w:sz w:val="32"/>
          <w:szCs w:val="32"/>
        </w:rPr>
      </w:pPr>
      <w:r>
        <w:rPr>
          <w:rFonts w:cs="Arial" w:ascii="Calibri" w:hAnsi="Calibri"/>
          <w:b w:val="false"/>
          <w:bCs w:val="false"/>
          <w:color w:val="5B5B5F"/>
          <w:sz w:val="32"/>
          <w:szCs w:val="32"/>
        </w:rPr>
      </w:r>
    </w:p>
    <w:p>
      <w:pPr>
        <w:pStyle w:val="Normal"/>
        <w:rPr>
          <w:rFonts w:cs="Arial"/>
          <w:b/>
          <w:b/>
          <w:bCs/>
          <w:color w:val="405CA1"/>
          <w:sz w:val="32"/>
          <w:szCs w:val="32"/>
        </w:rPr>
      </w:pPr>
      <w:r>
        <w:rPr>
          <w:rFonts w:cs="Arial" w:ascii="Calibri" w:hAnsi="Calibri"/>
          <w:b w:val="false"/>
          <w:bCs w:val="false"/>
          <w:color w:val="405CA1"/>
          <w:sz w:val="32"/>
          <w:szCs w:val="32"/>
        </w:rPr>
        <w:t>VALOR TOTAL DA CONTRATAÇÃO</w:t>
      </w:r>
    </w:p>
    <w:p>
      <w:pPr>
        <w:pStyle w:val="Normal"/>
        <w:rPr>
          <w:rFonts w:cs="Arial"/>
          <w:color w:val="5B5B5F"/>
          <w:sz w:val="28"/>
          <w:szCs w:val="28"/>
        </w:rPr>
      </w:pPr>
      <w:r>
        <w:rPr>
          <w:rFonts w:cs="Arial" w:ascii="Calibri" w:hAnsi="Calibri"/>
          <w:b w:val="false"/>
          <w:bCs w:val="false"/>
          <w:color w:val="000000"/>
          <w:sz w:val="28"/>
          <w:szCs w:val="28"/>
        </w:rPr>
        <w:t>R$</w:t>
      </w:r>
      <w:r>
        <w:rPr>
          <w:rFonts w:cs="Calibri" w:ascii="Calibri" w:hAnsi="Calibri" w:cstheme="minorHAnsi"/>
          <w:b w:val="false"/>
          <w:bCs w:val="false"/>
          <w:color w:val="000000"/>
          <w:sz w:val="28"/>
          <w:szCs w:val="28"/>
        </w:rPr>
        <w:t xml:space="preserve"> 61.508,82</w:t>
      </w:r>
    </w:p>
    <w:p>
      <w:pPr>
        <w:pStyle w:val="Normal"/>
        <w:rPr>
          <w:rFonts w:ascii="Calibri" w:hAnsi="Calibri" w:cs="Arial"/>
          <w:b w:val="false"/>
          <w:b w:val="false"/>
          <w:bCs w:val="false"/>
          <w:color w:val="5B5B5F"/>
          <w:sz w:val="32"/>
          <w:szCs w:val="32"/>
        </w:rPr>
      </w:pPr>
      <w:r>
        <w:rPr>
          <w:rFonts w:cs="Arial" w:ascii="Calibri" w:hAnsi="Calibri"/>
          <w:b w:val="false"/>
          <w:bCs w:val="false"/>
          <w:color w:val="5B5B5F"/>
          <w:sz w:val="32"/>
          <w:szCs w:val="32"/>
        </w:rPr>
      </w:r>
    </w:p>
    <w:p>
      <w:pPr>
        <w:pStyle w:val="Normal"/>
        <w:rPr>
          <w:rFonts w:cs="Arial"/>
          <w:b/>
          <w:b/>
          <w:bCs/>
          <w:color w:val="405CA1"/>
          <w:sz w:val="32"/>
          <w:szCs w:val="32"/>
        </w:rPr>
      </w:pPr>
      <w:r>
        <w:rPr>
          <w:rFonts w:cs="Arial" w:ascii="Calibri" w:hAnsi="Calibri"/>
          <w:b w:val="false"/>
          <w:bCs w:val="false"/>
          <w:color w:val="405CA1"/>
          <w:sz w:val="32"/>
          <w:szCs w:val="32"/>
        </w:rPr>
        <w:t>DATA DA SESSÃO</w:t>
      </w:r>
    </w:p>
    <w:p>
      <w:pPr>
        <w:pStyle w:val="Normal"/>
        <w:rPr>
          <w:rFonts w:cs="Arial"/>
          <w:color w:val="5B5B5F"/>
          <w:sz w:val="28"/>
          <w:szCs w:val="28"/>
        </w:rPr>
      </w:pPr>
      <w:r>
        <w:rPr>
          <w:rFonts w:cs="Arial" w:ascii="Calibri" w:hAnsi="Calibri"/>
          <w:b w:val="false"/>
          <w:bCs w:val="false"/>
          <w:color w:val="000000"/>
          <w:sz w:val="28"/>
          <w:szCs w:val="28"/>
        </w:rPr>
        <w:t>De 03/07/2023</w:t>
      </w:r>
    </w:p>
    <w:p>
      <w:pPr>
        <w:pStyle w:val="Normal"/>
        <w:rPr>
          <w:rFonts w:ascii="Calibri" w:hAnsi="Calibri" w:cs="Arial"/>
          <w:b w:val="false"/>
          <w:b w:val="false"/>
          <w:bCs w:val="false"/>
          <w:color w:val="5B5B5F"/>
          <w:sz w:val="32"/>
          <w:szCs w:val="32"/>
        </w:rPr>
      </w:pPr>
      <w:r>
        <w:rPr>
          <w:rFonts w:cs="Arial" w:ascii="Calibri" w:hAnsi="Calibri"/>
          <w:b w:val="false"/>
          <w:bCs w:val="false"/>
          <w:color w:val="5B5B5F"/>
          <w:sz w:val="32"/>
          <w:szCs w:val="32"/>
        </w:rPr>
      </w:r>
    </w:p>
    <w:p>
      <w:pPr>
        <w:pStyle w:val="Normal"/>
        <w:rPr>
          <w:rFonts w:cs="Arial"/>
          <w:b/>
          <w:b/>
          <w:bCs/>
          <w:color w:val="405CA1"/>
          <w:sz w:val="32"/>
          <w:szCs w:val="32"/>
        </w:rPr>
      </w:pPr>
      <w:r>
        <w:rPr>
          <w:rFonts w:cs="Arial" w:ascii="Calibri" w:hAnsi="Calibri"/>
          <w:b w:val="false"/>
          <w:bCs w:val="false"/>
          <w:color w:val="405CA1"/>
          <w:sz w:val="32"/>
          <w:szCs w:val="32"/>
        </w:rPr>
        <w:t>HORÁRIO DA FASE DE LANCES</w:t>
      </w:r>
    </w:p>
    <w:p>
      <w:pPr>
        <w:pStyle w:val="Normal"/>
        <w:rPr>
          <w:rFonts w:ascii="Arial" w:hAnsi="Arial"/>
          <w:b w:val="false"/>
          <w:b w:val="false"/>
          <w:bCs w:val="false"/>
          <w:color w:val="000000"/>
          <w:highlight w:val="white"/>
        </w:rPr>
      </w:pPr>
      <w:r>
        <w:rPr>
          <w:rFonts w:cs="Arial" w:ascii="Calibri" w:hAnsi="Calibri"/>
          <w:b w:val="false"/>
          <w:bCs w:val="false"/>
          <w:color w:val="000000"/>
          <w:sz w:val="28"/>
          <w:szCs w:val="28"/>
          <w:highlight w:val="white"/>
        </w:rPr>
        <w:t>Das 08h00 até 14h00</w:t>
      </w:r>
    </w:p>
    <w:p>
      <w:pPr>
        <w:pStyle w:val="Normal"/>
        <w:rPr>
          <w:rFonts w:ascii="Calibri" w:hAnsi="Calibri" w:cs="Arial"/>
          <w:b w:val="false"/>
          <w:b w:val="false"/>
          <w:bCs w:val="false"/>
          <w:color w:val="405CA1"/>
          <w:sz w:val="32"/>
          <w:szCs w:val="32"/>
        </w:rPr>
      </w:pPr>
      <w:r>
        <w:rPr>
          <w:rFonts w:cs="Arial" w:ascii="Calibri" w:hAnsi="Calibri"/>
          <w:b w:val="false"/>
          <w:bCs w:val="false"/>
          <w:color w:val="405CA1"/>
          <w:sz w:val="32"/>
          <w:szCs w:val="32"/>
        </w:rPr>
      </w:r>
    </w:p>
    <w:p>
      <w:pPr>
        <w:pStyle w:val="Normal"/>
        <w:suppressAutoHyphens w:val="false"/>
        <w:spacing w:lineRule="auto" w:line="259" w:before="0" w:after="160"/>
        <w:rPr>
          <w:rFonts w:cs="Arial"/>
          <w:b/>
          <w:b/>
          <w:bCs/>
          <w:color w:val="405CA1"/>
          <w:sz w:val="32"/>
          <w:szCs w:val="32"/>
        </w:rPr>
      </w:pPr>
      <w:r>
        <w:rPr>
          <w:rFonts w:cs="Arial" w:ascii="Calibri" w:hAnsi="Calibri"/>
          <w:b w:val="false"/>
          <w:bCs w:val="false"/>
          <w:color w:val="405CA1"/>
          <w:sz w:val="32"/>
          <w:szCs w:val="32"/>
        </w:rPr>
        <w:t>PREFERÊNCIA ME/EPP/EQUIPARADAS</w:t>
        <w:br/>
      </w:r>
      <w:r>
        <w:rPr>
          <w:rFonts w:cs="Arial" w:ascii="Calibri" w:hAnsi="Calibri"/>
          <w:b w:val="false"/>
          <w:bCs w:val="false"/>
          <w:color w:val="000000"/>
          <w:sz w:val="28"/>
          <w:szCs w:val="28"/>
        </w:rPr>
        <w:t>SIM</w:t>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sdt>
      <w:sdtPr>
        <w:docPartObj>
          <w:docPartGallery w:val="Table of Contents"/>
          <w:docPartUnique w:val="true"/>
        </w:docPartObj>
        <w:id w:val="1760765970"/>
      </w:sdtPr>
      <w:sdtContent>
        <w:p>
          <w:pPr>
            <w:pStyle w:val="TOCHeading"/>
            <w:rPr>
              <w:rFonts w:ascii="Calibri" w:hAnsi="Calibri"/>
            </w:rPr>
          </w:pPr>
          <w:r>
            <w:rPr>
              <w:rFonts w:ascii="Calibri" w:hAnsi="Calibri"/>
            </w:rPr>
            <w:t>Sumário</w:t>
          </w:r>
        </w:p>
        <w:p>
          <w:pPr>
            <w:pStyle w:val="Sumrio1"/>
            <w:tabs>
              <w:tab w:val="left" w:pos="440" w:leader="none"/>
              <w:tab w:val="right" w:pos="8494" w:leader="dot"/>
            </w:tabs>
            <w:rPr/>
          </w:pPr>
          <w:r>
            <w:fldChar w:fldCharType="begin"/>
          </w:r>
          <w:r>
            <w:rPr>
              <w:webHidden/>
              <w:rStyle w:val="Vnculodendice"/>
              <w:vanish w:val="false"/>
              <w:rFonts w:eastAsia="Arial Unicode MS" w:ascii="Calibri" w:hAnsi="Calibri"/>
            </w:rPr>
            <w:instrText> TOC \z \o "1-3" \u \h</w:instrText>
          </w:r>
          <w:r>
            <w:rPr>
              <w:webHidden/>
              <w:rStyle w:val="Vnculodendice"/>
              <w:vanish w:val="false"/>
              <w:rFonts w:eastAsia="Arial Unicode MS" w:ascii="Calibri" w:hAnsi="Calibri"/>
            </w:rPr>
            <w:fldChar w:fldCharType="separate"/>
          </w:r>
          <w:hyperlink w:anchor="_Toc118380899">
            <w:r>
              <w:rPr>
                <w:webHidden/>
                <w:rStyle w:val="Vnculodendice"/>
                <w:rFonts w:eastAsia="Arial Unicode MS" w:ascii="Calibri" w:hAnsi="Calibri"/>
                <w:vanish w:val="false"/>
                <w:lang w:bidi="hi-IN"/>
              </w:rPr>
              <w:t>1.</w:t>
            </w:r>
            <w:r>
              <w:rPr>
                <w:rStyle w:val="Vnculodendice"/>
                <w:rFonts w:ascii="Calibri" w:hAnsi="Calibri"/>
              </w:rPr>
              <w:tab/>
            </w:r>
            <w:r>
              <w:rPr>
                <w:rStyle w:val="Vnculodendice"/>
                <w:rFonts w:eastAsia="Arial Unicode MS" w:ascii="Calibri" w:hAnsi="Calibri"/>
                <w:lang w:bidi="hi-IN"/>
              </w:rPr>
              <w:t>OBJETO DA CONTRATAÇÃO DIRETA</w:t>
            </w:r>
            <w:r>
              <w:rPr>
                <w:webHidden/>
              </w:rPr>
              <w:fldChar w:fldCharType="begin"/>
            </w:r>
            <w:r>
              <w:rPr>
                <w:webHidden/>
              </w:rPr>
              <w:instrText>PAGEREF _Toc118380899 \h</w:instrText>
            </w:r>
            <w:r>
              <w:rPr>
                <w:webHidden/>
              </w:rPr>
              <w:fldChar w:fldCharType="separate"/>
            </w:r>
            <w:r>
              <w:rPr>
                <w:rStyle w:val="Vnculodendice"/>
                <w:rFonts w:ascii="Calibri" w:hAnsi="Calibri"/>
                <w:vanish w:val="false"/>
              </w:rPr>
              <w:tab/>
              <w:t>3</w:t>
            </w:r>
            <w:r>
              <w:rPr>
                <w:webHidden/>
              </w:rPr>
              <w:fldChar w:fldCharType="end"/>
            </w:r>
          </w:hyperlink>
        </w:p>
        <w:p>
          <w:pPr>
            <w:pStyle w:val="Sumrio1"/>
            <w:tabs>
              <w:tab w:val="left" w:pos="440" w:leader="none"/>
              <w:tab w:val="right" w:pos="8494" w:leader="dot"/>
            </w:tabs>
            <w:rPr/>
          </w:pPr>
          <w:hyperlink w:anchor="_Toc118380900">
            <w:r>
              <w:rPr>
                <w:webHidden/>
                <w:rStyle w:val="Vnculodendice"/>
                <w:rFonts w:eastAsia="Arial Unicode MS" w:ascii="Calibri" w:hAnsi="Calibri"/>
                <w:vanish w:val="false"/>
                <w:lang w:bidi="hi-IN"/>
              </w:rPr>
              <w:t>2.</w:t>
            </w:r>
            <w:r>
              <w:rPr>
                <w:rStyle w:val="Vnculodendice"/>
                <w:rFonts w:ascii="Calibri" w:hAnsi="Calibri"/>
              </w:rPr>
              <w:tab/>
            </w:r>
            <w:r>
              <w:rPr>
                <w:rStyle w:val="Vnculodendice"/>
                <w:rFonts w:eastAsia="Arial Unicode MS" w:ascii="Calibri" w:hAnsi="Calibri"/>
                <w:lang w:bidi="hi-IN"/>
              </w:rPr>
              <w:t>PARTICIPAÇÃO NA DISPENSA ELETRÔNICA.</w:t>
            </w:r>
            <w:r>
              <w:rPr>
                <w:webHidden/>
              </w:rPr>
              <w:fldChar w:fldCharType="begin"/>
            </w:r>
            <w:r>
              <w:rPr>
                <w:webHidden/>
              </w:rPr>
              <w:instrText>PAGEREF _Toc118380900 \h</w:instrText>
            </w:r>
            <w:r>
              <w:rPr>
                <w:webHidden/>
              </w:rPr>
              <w:fldChar w:fldCharType="separate"/>
            </w:r>
            <w:r>
              <w:rPr>
                <w:rStyle w:val="Vnculodendice"/>
                <w:rFonts w:ascii="Calibri" w:hAnsi="Calibri"/>
                <w:vanish w:val="false"/>
              </w:rPr>
              <w:tab/>
              <w:t>4</w:t>
            </w:r>
            <w:r>
              <w:rPr>
                <w:webHidden/>
              </w:rPr>
              <w:fldChar w:fldCharType="end"/>
            </w:r>
          </w:hyperlink>
        </w:p>
        <w:p>
          <w:pPr>
            <w:pStyle w:val="Sumrio1"/>
            <w:tabs>
              <w:tab w:val="left" w:pos="440" w:leader="none"/>
              <w:tab w:val="right" w:pos="8494" w:leader="dot"/>
            </w:tabs>
            <w:rPr/>
          </w:pPr>
          <w:hyperlink w:anchor="_Toc118380901">
            <w:r>
              <w:rPr>
                <w:webHidden/>
                <w:rStyle w:val="Vnculodendice"/>
                <w:rFonts w:eastAsia="Arial Unicode MS" w:ascii="Calibri" w:hAnsi="Calibri"/>
                <w:vanish w:val="false"/>
                <w:lang w:bidi="hi-IN"/>
              </w:rPr>
              <w:t>3.</w:t>
            </w:r>
            <w:r>
              <w:rPr>
                <w:rStyle w:val="Vnculodendice"/>
                <w:rFonts w:ascii="Calibri" w:hAnsi="Calibri"/>
              </w:rPr>
              <w:tab/>
            </w:r>
            <w:r>
              <w:rPr>
                <w:rStyle w:val="Vnculodendice"/>
                <w:rFonts w:eastAsia="Arial Unicode MS" w:ascii="Calibri" w:hAnsi="Calibri"/>
                <w:lang w:bidi="hi-IN"/>
              </w:rPr>
              <w:t>INGRESSO NA DISPENSA ELETRÔNICA E CADASTRAMENTO DA PROPOSTA INICIAL</w:t>
            </w:r>
            <w:r>
              <w:rPr>
                <w:webHidden/>
              </w:rPr>
              <w:fldChar w:fldCharType="begin"/>
            </w:r>
            <w:r>
              <w:rPr>
                <w:webHidden/>
              </w:rPr>
              <w:instrText>PAGEREF _Toc118380901 \h</w:instrText>
            </w:r>
            <w:r>
              <w:rPr>
                <w:webHidden/>
              </w:rPr>
              <w:fldChar w:fldCharType="separate"/>
            </w:r>
            <w:r>
              <w:rPr>
                <w:rStyle w:val="Vnculodendice"/>
                <w:rFonts w:ascii="Calibri" w:hAnsi="Calibri"/>
                <w:vanish w:val="false"/>
              </w:rPr>
              <w:tab/>
              <w:t>5</w:t>
            </w:r>
            <w:r>
              <w:rPr>
                <w:webHidden/>
              </w:rPr>
              <w:fldChar w:fldCharType="end"/>
            </w:r>
          </w:hyperlink>
        </w:p>
        <w:p>
          <w:pPr>
            <w:pStyle w:val="Sumrio1"/>
            <w:tabs>
              <w:tab w:val="left" w:pos="440" w:leader="none"/>
              <w:tab w:val="right" w:pos="8494" w:leader="dot"/>
            </w:tabs>
            <w:rPr/>
          </w:pPr>
          <w:hyperlink w:anchor="_Toc118380902">
            <w:r>
              <w:rPr>
                <w:webHidden/>
                <w:rStyle w:val="Vnculodendice"/>
                <w:rFonts w:eastAsia="Arial Unicode MS" w:ascii="Calibri" w:hAnsi="Calibri"/>
                <w:vanish w:val="false"/>
                <w:lang w:bidi="hi-IN"/>
              </w:rPr>
              <w:t>4.</w:t>
            </w:r>
            <w:r>
              <w:rPr>
                <w:rStyle w:val="Vnculodendice"/>
                <w:rFonts w:ascii="Calibri" w:hAnsi="Calibri"/>
              </w:rPr>
              <w:tab/>
            </w:r>
            <w:r>
              <w:rPr>
                <w:rStyle w:val="Vnculodendice"/>
                <w:rFonts w:eastAsia="Arial Unicode MS" w:ascii="Calibri" w:hAnsi="Calibri"/>
                <w:lang w:bidi="hi-IN"/>
              </w:rPr>
              <w:t>FASE DE LANCES</w:t>
            </w:r>
            <w:r>
              <w:rPr>
                <w:rStyle w:val="Vnculodendice"/>
                <w:rFonts w:ascii="Calibri" w:hAnsi="Calibri"/>
                <w:vanish w:val="false"/>
              </w:rPr>
              <w:tab/>
            </w:r>
          </w:hyperlink>
          <w:r>
            <w:rPr>
              <w:rFonts w:ascii="Calibri" w:hAnsi="Calibri"/>
              <w:vanish w:val="false"/>
            </w:rPr>
            <w:t>6</w:t>
          </w:r>
        </w:p>
        <w:p>
          <w:pPr>
            <w:pStyle w:val="Sumrio1"/>
            <w:tabs>
              <w:tab w:val="left" w:pos="440" w:leader="none"/>
              <w:tab w:val="right" w:pos="8494" w:leader="dot"/>
            </w:tabs>
            <w:rPr/>
          </w:pPr>
          <w:hyperlink w:anchor="_Toc118380903">
            <w:r>
              <w:rPr>
                <w:webHidden/>
                <w:rStyle w:val="Vnculodendice"/>
                <w:rFonts w:eastAsia="Arial Unicode MS" w:ascii="Calibri" w:hAnsi="Calibri"/>
                <w:vanish w:val="false"/>
                <w:lang w:bidi="hi-IN"/>
              </w:rPr>
              <w:t>5.</w:t>
            </w:r>
            <w:r>
              <w:rPr>
                <w:rStyle w:val="Vnculodendice"/>
                <w:rFonts w:ascii="Calibri" w:hAnsi="Calibri"/>
              </w:rPr>
              <w:tab/>
            </w:r>
            <w:r>
              <w:rPr>
                <w:rStyle w:val="Vnculodendice"/>
                <w:rFonts w:eastAsia="Arial Unicode MS" w:ascii="Calibri" w:hAnsi="Calibri"/>
                <w:lang w:bidi="hi-IN"/>
              </w:rPr>
              <w:t>JULGAMENTO DAS PROPOSTAS DE PREÇO</w:t>
            </w:r>
            <w:r>
              <w:rPr>
                <w:rStyle w:val="Vnculodendice"/>
                <w:rFonts w:ascii="Calibri" w:hAnsi="Calibri"/>
                <w:vanish w:val="false"/>
              </w:rPr>
              <w:tab/>
            </w:r>
          </w:hyperlink>
          <w:r>
            <w:rPr>
              <w:rFonts w:ascii="Calibri" w:hAnsi="Calibri"/>
              <w:vanish w:val="false"/>
            </w:rPr>
            <w:t>6</w:t>
          </w:r>
        </w:p>
        <w:p>
          <w:pPr>
            <w:pStyle w:val="Sumrio1"/>
            <w:tabs>
              <w:tab w:val="left" w:pos="440" w:leader="none"/>
              <w:tab w:val="right" w:pos="8494" w:leader="dot"/>
            </w:tabs>
            <w:rPr/>
          </w:pPr>
          <w:hyperlink w:anchor="_Toc118380904">
            <w:r>
              <w:rPr>
                <w:webHidden/>
                <w:rStyle w:val="Vnculodendice"/>
                <w:rFonts w:eastAsia="Arial Unicode MS" w:ascii="Calibri" w:hAnsi="Calibri"/>
                <w:vanish w:val="false"/>
                <w:lang w:bidi="hi-IN"/>
              </w:rPr>
              <w:t>6.</w:t>
            </w:r>
            <w:r>
              <w:rPr>
                <w:rStyle w:val="Vnculodendice"/>
                <w:rFonts w:ascii="Calibri" w:hAnsi="Calibri"/>
              </w:rPr>
              <w:tab/>
            </w:r>
            <w:r>
              <w:rPr>
                <w:rStyle w:val="Vnculodendice"/>
                <w:rFonts w:eastAsia="Arial Unicode MS" w:ascii="Calibri" w:hAnsi="Calibri"/>
                <w:lang w:bidi="hi-IN"/>
              </w:rPr>
              <w:t>HABILITAÇÃO</w:t>
            </w:r>
            <w:r>
              <w:rPr>
                <w:rStyle w:val="Vnculodendice"/>
                <w:rFonts w:ascii="Calibri" w:hAnsi="Calibri"/>
                <w:vanish w:val="false"/>
              </w:rPr>
              <w:tab/>
            </w:r>
          </w:hyperlink>
          <w:r>
            <w:rPr>
              <w:rFonts w:ascii="Calibri" w:hAnsi="Calibri"/>
              <w:vanish w:val="false"/>
            </w:rPr>
            <w:t>8</w:t>
          </w:r>
        </w:p>
        <w:p>
          <w:pPr>
            <w:pStyle w:val="Sumrio1"/>
            <w:tabs>
              <w:tab w:val="left" w:pos="440" w:leader="none"/>
              <w:tab w:val="right" w:pos="8494" w:leader="dot"/>
            </w:tabs>
            <w:rPr/>
          </w:pPr>
          <w:hyperlink w:anchor="_Toc118380905">
            <w:r>
              <w:rPr>
                <w:webHidden/>
                <w:rStyle w:val="Vnculodendice"/>
                <w:rFonts w:eastAsia="Arial Unicode MS" w:ascii="Calibri" w:hAnsi="Calibri"/>
                <w:vanish w:val="false"/>
                <w:lang w:bidi="hi-IN"/>
              </w:rPr>
              <w:t>7.</w:t>
            </w:r>
            <w:r>
              <w:rPr>
                <w:rStyle w:val="Vnculodendice"/>
                <w:rFonts w:ascii="Calibri" w:hAnsi="Calibri"/>
              </w:rPr>
              <w:tab/>
            </w:r>
            <w:r>
              <w:rPr>
                <w:rStyle w:val="Vnculodendice"/>
                <w:rFonts w:eastAsia="Arial Unicode MS" w:ascii="Calibri" w:hAnsi="Calibri"/>
                <w:lang w:bidi="hi-IN"/>
              </w:rPr>
              <w:t>CONTRATAÇÃO</w:t>
            </w:r>
            <w:r>
              <w:rPr>
                <w:rStyle w:val="Vnculodendice"/>
                <w:rFonts w:ascii="Calibri" w:hAnsi="Calibri"/>
                <w:vanish w:val="false"/>
              </w:rPr>
              <w:tab/>
            </w:r>
          </w:hyperlink>
          <w:r>
            <w:rPr>
              <w:rFonts w:ascii="Calibri" w:hAnsi="Calibri"/>
              <w:vanish w:val="false"/>
            </w:rPr>
            <w:t>9</w:t>
          </w:r>
        </w:p>
        <w:p>
          <w:pPr>
            <w:pStyle w:val="Sumrio1"/>
            <w:tabs>
              <w:tab w:val="left" w:pos="440" w:leader="none"/>
              <w:tab w:val="right" w:pos="8494" w:leader="dot"/>
            </w:tabs>
            <w:rPr/>
          </w:pPr>
          <w:hyperlink w:anchor="_Toc118380906">
            <w:r>
              <w:rPr>
                <w:webHidden/>
                <w:rStyle w:val="Vnculodendice"/>
                <w:rFonts w:eastAsia="Arial Unicode MS" w:ascii="Calibri" w:hAnsi="Calibri"/>
                <w:vanish w:val="false"/>
                <w:lang w:bidi="hi-IN"/>
              </w:rPr>
              <w:t>8.</w:t>
            </w:r>
            <w:r>
              <w:rPr>
                <w:rStyle w:val="Vnculodendice"/>
                <w:rFonts w:ascii="Calibri" w:hAnsi="Calibri"/>
              </w:rPr>
              <w:tab/>
            </w:r>
            <w:r>
              <w:rPr>
                <w:rStyle w:val="Vnculodendice"/>
                <w:rFonts w:eastAsia="Arial Unicode MS" w:ascii="Calibri" w:hAnsi="Calibri"/>
                <w:lang w:bidi="hi-IN"/>
              </w:rPr>
              <w:t>INFRAÇÕES E SANÇÕES ADMINISTRATIVAS</w:t>
            </w:r>
            <w:r>
              <w:rPr>
                <w:rStyle w:val="Vnculodendice"/>
                <w:rFonts w:ascii="Calibri" w:hAnsi="Calibri"/>
                <w:vanish w:val="false"/>
              </w:rPr>
              <w:tab/>
              <w:t>1</w:t>
            </w:r>
          </w:hyperlink>
          <w:r>
            <w:rPr>
              <w:rFonts w:ascii="Calibri" w:hAnsi="Calibri"/>
              <w:vanish w:val="false"/>
            </w:rPr>
            <w:t>0</w:t>
          </w:r>
        </w:p>
        <w:p>
          <w:pPr>
            <w:pStyle w:val="Sumrio1"/>
            <w:tabs>
              <w:tab w:val="left" w:pos="440" w:leader="none"/>
              <w:tab w:val="right" w:pos="8494" w:leader="dot"/>
            </w:tabs>
            <w:rPr/>
          </w:pPr>
          <w:hyperlink w:anchor="_Toc118380907">
            <w:r>
              <w:rPr>
                <w:webHidden/>
                <w:rStyle w:val="Vnculodendice"/>
                <w:rFonts w:eastAsia="Arial Unicode MS" w:ascii="Calibri" w:hAnsi="Calibri"/>
                <w:vanish w:val="false"/>
                <w:lang w:bidi="hi-IN"/>
              </w:rPr>
              <w:t>9.</w:t>
            </w:r>
            <w:r>
              <w:rPr>
                <w:rStyle w:val="Vnculodendice"/>
                <w:rFonts w:ascii="Calibri" w:hAnsi="Calibri"/>
              </w:rPr>
              <w:tab/>
            </w:r>
            <w:bookmarkStart w:id="0" w:name="__DdeLink__1666_3774283801"/>
            <w:r>
              <w:rPr>
                <w:rStyle w:val="Vnculodendice"/>
                <w:rFonts w:eastAsia="Arial Unicode MS" w:ascii="Calibri" w:hAnsi="Calibri"/>
                <w:lang w:bidi="hi-IN"/>
              </w:rPr>
              <w:t>DAS DISPOSIÇÕES GERAI</w:t>
            </w:r>
            <w:bookmarkEnd w:id="0"/>
            <w:r>
              <w:rPr>
                <w:rStyle w:val="Vnculodendice"/>
                <w:rFonts w:eastAsia="Arial Unicode MS" w:ascii="Calibri" w:hAnsi="Calibri"/>
                <w:lang w:bidi="hi-IN"/>
              </w:rPr>
              <w:t>S</w:t>
            </w:r>
            <w:r>
              <w:rPr>
                <w:rStyle w:val="Vnculodendice"/>
                <w:rFonts w:ascii="Calibri" w:hAnsi="Calibri"/>
                <w:vanish w:val="false"/>
              </w:rPr>
              <w:tab/>
              <w:t>1</w:t>
            </w:r>
          </w:hyperlink>
          <w:r>
            <w:rPr>
              <w:rFonts w:ascii="Calibri" w:hAnsi="Calibri"/>
              <w:vanish w:val="false"/>
            </w:rPr>
            <w:t>2</w:t>
          </w:r>
        </w:p>
        <w:p>
          <w:pPr>
            <w:pStyle w:val="Normal"/>
            <w:rPr>
              <w:rFonts w:ascii="Calibri" w:hAnsi="Calibri"/>
            </w:rPr>
          </w:pPr>
          <w:r>
            <w:rPr>
              <w:rFonts w:ascii="Calibri" w:hAnsi="Calibri"/>
            </w:rPr>
          </w:r>
          <w:r>
            <w:rPr>
              <w:rFonts w:ascii="Calibri" w:hAnsi="Calibri"/>
            </w:rPr>
            <w:fldChar w:fldCharType="end"/>
          </w:r>
        </w:p>
      </w:sdtContent>
    </w:sdt>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p>
    <w:p>
      <w:pPr>
        <w:pStyle w:val="Normal"/>
        <w:suppressAutoHyphens w:val="false"/>
        <w:spacing w:lineRule="auto" w:line="259" w:before="0" w:after="160"/>
        <w:rPr>
          <w:rFonts w:ascii="Calibri" w:hAnsi="Calibri" w:cs="Arial"/>
          <w:b/>
          <w:b/>
          <w:bCs/>
          <w:i/>
          <w:i/>
          <w:iCs/>
          <w:color w:val="FF0000"/>
          <w:szCs w:val="20"/>
        </w:rPr>
      </w:pPr>
      <w:r>
        <w:rPr>
          <w:rFonts w:cs="Arial" w:ascii="Calibri" w:hAnsi="Calibri"/>
          <w:b/>
          <w:bCs/>
          <w:i/>
          <w:iCs/>
          <w:color w:val="FF0000"/>
          <w:szCs w:val="20"/>
        </w:rPr>
      </w:r>
      <w:r>
        <w:br w:type="page"/>
      </w:r>
    </w:p>
    <w:p>
      <w:pPr>
        <w:pStyle w:val="Normal"/>
        <w:spacing w:lineRule="auto" w:line="276"/>
        <w:jc w:val="center"/>
        <w:rPr>
          <w:rFonts w:ascii="Calibri" w:hAnsi="Calibri" w:cs="Arial"/>
          <w:b/>
          <w:b/>
          <w:bCs/>
          <w:szCs w:val="20"/>
        </w:rPr>
      </w:pPr>
      <w:r>
        <w:rPr>
          <w:rFonts w:cs="Arial" w:ascii="Calibri" w:hAnsi="Calibri"/>
          <w:b/>
          <w:bCs/>
          <w:szCs w:val="20"/>
        </w:rPr>
        <w:drawing>
          <wp:anchor behindDoc="0" distT="0" distB="0" distL="0" distR="0" simplePos="0" locked="0" layoutInCell="1" allowOverlap="1" relativeHeight="2">
            <wp:simplePos x="0" y="0"/>
            <wp:positionH relativeFrom="column">
              <wp:posOffset>2587625</wp:posOffset>
            </wp:positionH>
            <wp:positionV relativeFrom="paragraph">
              <wp:posOffset>104140</wp:posOffset>
            </wp:positionV>
            <wp:extent cx="814070" cy="826770"/>
            <wp:effectExtent l="0" t="0" r="0" b="0"/>
            <wp:wrapSquare wrapText="largest"/>
            <wp:docPr id="1"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3" descr=""/>
                    <pic:cNvPicPr>
                      <a:picLocks noChangeAspect="1" noChangeArrowheads="1"/>
                    </pic:cNvPicPr>
                  </pic:nvPicPr>
                  <pic:blipFill>
                    <a:blip r:embed="rId2"/>
                    <a:stretch>
                      <a:fillRect/>
                    </a:stretch>
                  </pic:blipFill>
                  <pic:spPr bwMode="auto">
                    <a:xfrm>
                      <a:off x="0" y="0"/>
                      <a:ext cx="814070" cy="826770"/>
                    </a:xfrm>
                    <a:prstGeom prst="rect">
                      <a:avLst/>
                    </a:prstGeom>
                  </pic:spPr>
                </pic:pic>
              </a:graphicData>
            </a:graphic>
          </wp:anchor>
        </w:drawing>
      </w:r>
    </w:p>
    <w:p>
      <w:pPr>
        <w:pStyle w:val="Normal"/>
        <w:spacing w:lineRule="auto" w:line="276"/>
        <w:jc w:val="center"/>
        <w:rPr>
          <w:rFonts w:ascii="Calibri" w:hAnsi="Calibri" w:cs="Arial"/>
          <w:b/>
          <w:b/>
          <w:bCs/>
          <w:szCs w:val="20"/>
        </w:rPr>
      </w:pPr>
      <w:r>
        <w:rPr>
          <w:rFonts w:cs="Arial" w:ascii="Calibri" w:hAnsi="Calibri"/>
          <w:b/>
          <w:bCs/>
          <w:szCs w:val="20"/>
        </w:rPr>
      </w:r>
    </w:p>
    <w:p>
      <w:pPr>
        <w:pStyle w:val="Normal"/>
        <w:spacing w:lineRule="auto" w:line="276"/>
        <w:jc w:val="center"/>
        <w:rPr>
          <w:rFonts w:ascii="Calibri" w:hAnsi="Calibri" w:cs="Arial"/>
          <w:b/>
          <w:b/>
          <w:bCs/>
          <w:szCs w:val="20"/>
        </w:rPr>
      </w:pPr>
      <w:r>
        <w:rPr>
          <w:rFonts w:cs="Arial" w:ascii="Calibri" w:hAnsi="Calibri"/>
          <w:b/>
          <w:bCs/>
          <w:szCs w:val="20"/>
        </w:rPr>
      </w:r>
    </w:p>
    <w:p>
      <w:pPr>
        <w:pStyle w:val="Normal"/>
        <w:spacing w:lineRule="auto" w:line="276"/>
        <w:jc w:val="center"/>
        <w:rPr>
          <w:rFonts w:ascii="Calibri" w:hAnsi="Calibri" w:cs="Arial"/>
          <w:b/>
          <w:b/>
          <w:bCs/>
          <w:szCs w:val="20"/>
        </w:rPr>
      </w:pPr>
      <w:r>
        <w:rPr>
          <w:rFonts w:cs="Arial" w:ascii="Calibri" w:hAnsi="Calibri"/>
          <w:b/>
          <w:bCs/>
          <w:szCs w:val="20"/>
        </w:rPr>
      </w:r>
    </w:p>
    <w:p>
      <w:pPr>
        <w:pStyle w:val="Normal"/>
        <w:spacing w:lineRule="auto" w:line="276"/>
        <w:jc w:val="center"/>
        <w:rPr>
          <w:rFonts w:ascii="Calibri" w:hAnsi="Calibri" w:cs="Arial"/>
          <w:b/>
          <w:b/>
          <w:bCs/>
          <w:szCs w:val="20"/>
        </w:rPr>
      </w:pPr>
      <w:r>
        <w:rPr>
          <w:rFonts w:cs="Arial" w:ascii="Calibri" w:hAnsi="Calibri"/>
          <w:b/>
          <w:bCs/>
          <w:szCs w:val="20"/>
        </w:rPr>
      </w:r>
    </w:p>
    <w:p>
      <w:pPr>
        <w:pStyle w:val="Normal"/>
        <w:spacing w:lineRule="auto" w:line="276"/>
        <w:jc w:val="center"/>
        <w:rPr>
          <w:rFonts w:ascii="Calibri" w:hAnsi="Calibri" w:cs="Arial"/>
          <w:b/>
          <w:b/>
          <w:bCs/>
          <w:szCs w:val="20"/>
        </w:rPr>
      </w:pPr>
      <w:r>
        <w:rPr>
          <w:rFonts w:cs="Arial" w:ascii="Calibri" w:hAnsi="Calibri"/>
          <w:b/>
          <w:bCs/>
          <w:szCs w:val="20"/>
        </w:rPr>
      </w:r>
    </w:p>
    <w:p>
      <w:pPr>
        <w:pStyle w:val="Normal"/>
        <w:spacing w:lineRule="auto" w:line="276"/>
        <w:jc w:val="center"/>
        <w:rPr>
          <w:rFonts w:cs="Arial"/>
          <w:b/>
          <w:b/>
          <w:bCs/>
          <w:szCs w:val="20"/>
        </w:rPr>
      </w:pPr>
      <w:r>
        <w:rPr>
          <w:rFonts w:cs="Arial" w:ascii="Calibri" w:hAnsi="Calibri"/>
          <w:b/>
          <w:bCs/>
          <w:sz w:val="24"/>
          <w:szCs w:val="24"/>
        </w:rPr>
        <w:t>CENTRO DE INTENDÊNCIA DA MARINHA EM PARADA DE LUCAS</w:t>
      </w:r>
    </w:p>
    <w:p>
      <w:pPr>
        <w:pStyle w:val="Normal"/>
        <w:jc w:val="center"/>
        <w:rPr>
          <w:rFonts w:ascii="Calibri" w:hAnsi="Calibri"/>
          <w:sz w:val="24"/>
          <w:szCs w:val="24"/>
        </w:rPr>
      </w:pPr>
      <w:r>
        <w:rPr>
          <w:rFonts w:cs="Arial" w:ascii="Calibri" w:hAnsi="Calibri"/>
          <w:b/>
          <w:bCs/>
          <w:color w:val="000000" w:themeColor="text1"/>
          <w:sz w:val="24"/>
          <w:szCs w:val="24"/>
        </w:rPr>
        <w:t xml:space="preserve">AVISO DE CONTRATAÇÃO DIRETA  </w:t>
      </w:r>
      <w:r>
        <w:rPr>
          <w:rFonts w:cs="Arial" w:ascii="Calibri" w:hAnsi="Calibri"/>
          <w:b/>
          <w:bCs/>
          <w:color w:val="000000" w:themeColor="text1"/>
          <w:sz w:val="24"/>
          <w:szCs w:val="24"/>
          <w:highlight w:val="white"/>
        </w:rPr>
        <w:t>Nº 07/2023</w:t>
      </w:r>
    </w:p>
    <w:p>
      <w:pPr>
        <w:pStyle w:val="Normal"/>
        <w:spacing w:lineRule="auto" w:line="276"/>
        <w:jc w:val="center"/>
        <w:rPr>
          <w:rFonts w:ascii="Calibri" w:hAnsi="Calibri" w:cs="Arial"/>
          <w:b/>
          <w:b/>
          <w:bCs/>
          <w:color w:val="000000" w:themeColor="text1"/>
          <w:sz w:val="24"/>
          <w:szCs w:val="24"/>
        </w:rPr>
      </w:pPr>
      <w:r>
        <w:rPr>
          <w:rFonts w:cs="Arial" w:ascii="Calibri" w:hAnsi="Calibri"/>
          <w:b/>
          <w:bCs/>
          <w:color w:val="000000" w:themeColor="text1"/>
          <w:sz w:val="24"/>
          <w:szCs w:val="24"/>
        </w:rPr>
      </w:r>
    </w:p>
    <w:p>
      <w:pPr>
        <w:pStyle w:val="Normal"/>
        <w:spacing w:lineRule="auto" w:line="276" w:before="0" w:after="120"/>
        <w:ind w:right="-15" w:hanging="0"/>
        <w:jc w:val="center"/>
        <w:rPr>
          <w:color w:themeColor="text1"/>
          <w:highlight w:val="white"/>
        </w:rPr>
      </w:pPr>
      <w:r>
        <w:rPr>
          <w:rFonts w:cs="Arial" w:ascii="Calibri" w:hAnsi="Calibri"/>
          <w:b/>
          <w:bCs/>
          <w:color w:val="000000" w:themeColor="text1"/>
          <w:sz w:val="24"/>
          <w:szCs w:val="24"/>
          <w:highlight w:val="white"/>
        </w:rPr>
        <w:t>(Processo Administrativo n.°63514.000438/2023-12)</w:t>
      </w:r>
    </w:p>
    <w:p>
      <w:pPr>
        <w:pStyle w:val="Normal"/>
        <w:rPr>
          <w:rFonts w:ascii="Calibri" w:hAnsi="Calibri" w:cs="Arial"/>
          <w:sz w:val="24"/>
          <w:szCs w:val="24"/>
        </w:rPr>
      </w:pPr>
      <w:r>
        <w:rPr>
          <w:rFonts w:cs="Arial" w:ascii="Calibri" w:hAnsi="Calibri"/>
          <w:sz w:val="24"/>
          <w:szCs w:val="24"/>
        </w:rPr>
      </w:r>
    </w:p>
    <w:p>
      <w:pPr>
        <w:pStyle w:val="Normal"/>
        <w:snapToGrid w:val="false"/>
        <w:spacing w:lineRule="auto" w:line="276" w:before="0" w:after="120"/>
        <w:ind w:right="-30" w:firstLine="540"/>
        <w:jc w:val="both"/>
        <w:rPr/>
      </w:pPr>
      <w:r>
        <w:rPr>
          <w:rFonts w:cs="Arial" w:ascii="Calibri" w:hAnsi="Calibri"/>
          <w:sz w:val="24"/>
          <w:szCs w:val="24"/>
        </w:rPr>
        <w:t xml:space="preserve">Torna-se público que o Centro de Intendência da Marinha em Parada de Lucas, por meio da Divisão de Obtenção, realizará Dispensa Eletrônica, </w:t>
      </w:r>
      <w:r>
        <w:rPr>
          <w:rFonts w:cs="Arial" w:ascii="Calibri" w:hAnsi="Calibri"/>
          <w:bCs/>
          <w:sz w:val="24"/>
          <w:szCs w:val="24"/>
        </w:rPr>
        <w:t xml:space="preserve">com critério de julgamento </w:t>
      </w:r>
      <w:r>
        <w:rPr>
          <w:rFonts w:cs="Arial" w:ascii="Calibri" w:hAnsi="Calibri"/>
          <w:b/>
          <w:bCs/>
          <w:sz w:val="24"/>
          <w:szCs w:val="24"/>
        </w:rPr>
        <w:t xml:space="preserve">menor preço </w:t>
      </w:r>
      <w:r>
        <w:rPr>
          <w:rFonts w:cs="Arial" w:ascii="Calibri" w:hAnsi="Calibri"/>
          <w:sz w:val="24"/>
          <w:szCs w:val="24"/>
        </w:rPr>
        <w:t xml:space="preserve">na hipótese do </w:t>
      </w:r>
      <w:r>
        <w:fldChar w:fldCharType="begin"/>
      </w:r>
      <w:r>
        <w:rPr>
          <w:rStyle w:val="LinkdaInternet"/>
          <w:sz w:val="24"/>
          <w:u w:val="none"/>
          <w:szCs w:val="24"/>
          <w:rFonts w:cs="Arial" w:ascii="Calibri" w:hAnsi="Calibri"/>
        </w:rPr>
        <w:instrText> HYPERLINK "http://www.planalto.gov.br/ccivil_03/_ato2019-2022/2021/lei/L14133.htm" \l "art75"</w:instrText>
      </w:r>
      <w:r>
        <w:rPr>
          <w:rStyle w:val="LinkdaInternet"/>
          <w:sz w:val="24"/>
          <w:u w:val="none"/>
          <w:szCs w:val="24"/>
          <w:rFonts w:cs="Arial" w:ascii="Calibri" w:hAnsi="Calibri"/>
        </w:rPr>
        <w:fldChar w:fldCharType="separate"/>
      </w:r>
      <w:r>
        <w:rPr>
          <w:rStyle w:val="LinkdaInternet"/>
          <w:rFonts w:cs="Arial" w:ascii="Calibri" w:hAnsi="Calibri"/>
          <w:color w:val="auto"/>
          <w:sz w:val="24"/>
          <w:szCs w:val="24"/>
          <w:u w:val="none"/>
        </w:rPr>
        <w:t>art. 75</w:t>
      </w:r>
      <w:r>
        <w:rPr>
          <w:rStyle w:val="LinkdaInternet"/>
          <w:sz w:val="24"/>
          <w:u w:val="none"/>
          <w:szCs w:val="24"/>
          <w:rFonts w:cs="Arial" w:ascii="Calibri" w:hAnsi="Calibri"/>
        </w:rPr>
        <w:fldChar w:fldCharType="end"/>
      </w:r>
      <w:r>
        <w:rPr>
          <w:rFonts w:cs="Arial" w:ascii="Calibri" w:hAnsi="Calibri"/>
          <w:sz w:val="24"/>
          <w:szCs w:val="24"/>
        </w:rPr>
        <w:t xml:space="preserve">, inciso </w:t>
      </w:r>
      <w:r>
        <w:rPr>
          <w:rFonts w:cs="Arial" w:ascii="Calibri" w:hAnsi="Calibri"/>
          <w:bCs/>
          <w:sz w:val="24"/>
          <w:szCs w:val="24"/>
        </w:rPr>
        <w:t>I</w:t>
      </w:r>
      <w:r>
        <w:rPr>
          <w:rFonts w:cs="Arial" w:ascii="Calibri" w:hAnsi="Calibri"/>
          <w:sz w:val="24"/>
          <w:szCs w:val="24"/>
        </w:rPr>
        <w:t xml:space="preserve">, </w:t>
      </w:r>
      <w:r>
        <w:rPr>
          <w:rFonts w:cs="Arial" w:ascii="Calibri" w:hAnsi="Calibri"/>
          <w:bCs/>
          <w:sz w:val="24"/>
          <w:szCs w:val="24"/>
        </w:rPr>
        <w:t xml:space="preserve">nos termos da </w:t>
      </w:r>
      <w:hyperlink r:id="rId3">
        <w:r>
          <w:rPr>
            <w:rStyle w:val="LinkdaInternet"/>
            <w:rFonts w:cs="Arial" w:ascii="Calibri" w:hAnsi="Calibri"/>
            <w:bCs/>
            <w:color w:val="auto"/>
            <w:sz w:val="24"/>
            <w:szCs w:val="24"/>
            <w:u w:val="none"/>
          </w:rPr>
          <w:t>Lei n.º 14.133, de 1º de abril de 2021</w:t>
        </w:r>
      </w:hyperlink>
      <w:r>
        <w:rPr>
          <w:rFonts w:cs="Arial" w:ascii="Calibri" w:hAnsi="Calibri"/>
          <w:bCs/>
          <w:sz w:val="24"/>
          <w:szCs w:val="24"/>
        </w:rPr>
        <w:t xml:space="preserve">, da </w:t>
      </w:r>
      <w:hyperlink r:id="rId4">
        <w:r>
          <w:rPr>
            <w:rStyle w:val="LinkdaInternet"/>
            <w:rFonts w:cs="Arial" w:ascii="Calibri" w:hAnsi="Calibri"/>
            <w:bCs/>
            <w:color w:val="auto"/>
            <w:sz w:val="24"/>
            <w:szCs w:val="24"/>
            <w:u w:val="none"/>
          </w:rPr>
          <w:t>Instrução Normativa Seges/MEnº 67, de 2021</w:t>
        </w:r>
      </w:hyperlink>
      <w:r>
        <w:rPr>
          <w:rFonts w:cs="Arial" w:ascii="Calibri" w:hAnsi="Calibri"/>
          <w:bCs/>
          <w:sz w:val="24"/>
          <w:szCs w:val="24"/>
        </w:rPr>
        <w:t>, e demais normas aplicáveis</w:t>
      </w:r>
      <w:r>
        <w:rPr>
          <w:rFonts w:cs="Arial" w:ascii="Calibri" w:hAnsi="Calibri"/>
          <w:sz w:val="24"/>
          <w:szCs w:val="24"/>
        </w:rPr>
        <w:t>.</w:t>
      </w:r>
    </w:p>
    <w:p>
      <w:pPr>
        <w:pStyle w:val="Normal"/>
        <w:spacing w:lineRule="auto" w:line="276"/>
        <w:jc w:val="both"/>
        <w:rPr>
          <w:rFonts w:ascii="Calibri" w:hAnsi="Calibri" w:cs="Arial"/>
          <w:color w:val="000000" w:themeColor="text1"/>
          <w:sz w:val="24"/>
          <w:szCs w:val="24"/>
        </w:rPr>
      </w:pPr>
      <w:r>
        <w:rPr>
          <w:rFonts w:cs="Arial" w:ascii="Calibri" w:hAnsi="Calibri"/>
          <w:color w:val="000000" w:themeColor="text1"/>
          <w:sz w:val="24"/>
          <w:szCs w:val="24"/>
        </w:rPr>
      </w:r>
    </w:p>
    <w:p>
      <w:pPr>
        <w:pStyle w:val="Normal"/>
        <w:spacing w:lineRule="auto" w:line="276"/>
        <w:jc w:val="both"/>
        <w:rPr>
          <w:rFonts w:cs="Arial"/>
          <w:b/>
          <w:b/>
          <w:bCs/>
          <w:szCs w:val="20"/>
        </w:rPr>
      </w:pPr>
      <w:r>
        <w:rPr>
          <w:rFonts w:cs="Arial" w:ascii="Calibri" w:hAnsi="Calibri"/>
          <w:b/>
          <w:bCs/>
          <w:sz w:val="24"/>
          <w:szCs w:val="24"/>
        </w:rPr>
        <w:t>Data da sessão: 03/07/2023</w:t>
      </w:r>
    </w:p>
    <w:p>
      <w:pPr>
        <w:pStyle w:val="Normal"/>
        <w:rPr>
          <w:highlight w:val="white"/>
        </w:rPr>
      </w:pPr>
      <w:r>
        <w:rPr>
          <w:rFonts w:cs="Arial" w:ascii="Calibri" w:hAnsi="Calibri"/>
          <w:b/>
          <w:bCs/>
          <w:sz w:val="24"/>
          <w:szCs w:val="24"/>
          <w:highlight w:val="white"/>
        </w:rPr>
        <w:t>Horário da Fase de Lances:</w:t>
      </w:r>
      <w:r>
        <w:rPr>
          <w:rFonts w:cs="Arial" w:ascii="Calibri" w:hAnsi="Calibri"/>
          <w:sz w:val="24"/>
          <w:szCs w:val="24"/>
          <w:highlight w:val="white"/>
        </w:rPr>
        <w:t xml:space="preserve"> 08h00 às 14h00</w:t>
      </w:r>
    </w:p>
    <w:p>
      <w:pPr>
        <w:pStyle w:val="Normal"/>
        <w:rPr>
          <w:highlight w:val="white"/>
        </w:rPr>
      </w:pPr>
      <w:r>
        <w:rPr>
          <w:rFonts w:cs="Arial" w:ascii="Calibri" w:hAnsi="Calibri"/>
          <w:b/>
          <w:bCs/>
          <w:sz w:val="24"/>
          <w:szCs w:val="24"/>
          <w:highlight w:val="white"/>
        </w:rPr>
        <w:t>Link</w:t>
      </w:r>
      <w:r>
        <w:rPr>
          <w:rFonts w:cs="Arial" w:ascii="Calibri" w:hAnsi="Calibri"/>
          <w:sz w:val="24"/>
          <w:szCs w:val="24"/>
          <w:highlight w:val="white"/>
        </w:rPr>
        <w:t>: https://www.gov.br/compras/pt-br</w:t>
      </w:r>
    </w:p>
    <w:p>
      <w:pPr>
        <w:pStyle w:val="Normal"/>
        <w:spacing w:lineRule="auto" w:line="276"/>
        <w:ind w:right="-15" w:hanging="0"/>
        <w:jc w:val="both"/>
        <w:rPr>
          <w:rFonts w:cs="Arial"/>
          <w:szCs w:val="20"/>
        </w:rPr>
      </w:pPr>
      <w:r>
        <w:rPr>
          <w:rFonts w:cs="Arial" w:ascii="Calibri" w:hAnsi="Calibri"/>
          <w:b/>
          <w:bCs/>
          <w:sz w:val="24"/>
          <w:szCs w:val="24"/>
        </w:rPr>
        <w:t>Critério de Julgamento:</w:t>
      </w:r>
      <w:r>
        <w:rPr>
          <w:rFonts w:cs="Arial" w:ascii="Calibri" w:hAnsi="Calibri"/>
          <w:sz w:val="24"/>
          <w:szCs w:val="24"/>
        </w:rPr>
        <w:t xml:space="preserve"> menor preço</w:t>
      </w:r>
    </w:p>
    <w:p>
      <w:pPr>
        <w:pStyle w:val="Normal"/>
        <w:spacing w:lineRule="auto" w:line="276"/>
        <w:ind w:right="-15" w:hanging="0"/>
        <w:jc w:val="both"/>
        <w:rPr>
          <w:rFonts w:cs="Arial"/>
        </w:rPr>
      </w:pPr>
      <w:r>
        <w:rPr>
          <w:rFonts w:cs="Arial" w:ascii="Calibri" w:hAnsi="Calibri"/>
          <w:b/>
          <w:bCs/>
          <w:sz w:val="24"/>
          <w:szCs w:val="24"/>
        </w:rPr>
        <w:t>Regime de Execução:</w:t>
      </w:r>
      <w:r>
        <w:rPr>
          <w:rFonts w:cs="Arial" w:ascii="Calibri" w:hAnsi="Calibri"/>
          <w:sz w:val="24"/>
          <w:szCs w:val="24"/>
        </w:rPr>
        <w:t xml:space="preserve"> Empreitada por Preço Global </w:t>
      </w:r>
    </w:p>
    <w:p>
      <w:pPr>
        <w:pStyle w:val="Normal"/>
        <w:rPr>
          <w:rFonts w:ascii="Calibri" w:hAnsi="Calibri"/>
          <w:sz w:val="24"/>
          <w:szCs w:val="24"/>
        </w:rPr>
      </w:pPr>
      <w:r>
        <w:rPr>
          <w:rFonts w:ascii="Calibri" w:hAnsi="Calibri"/>
          <w:sz w:val="24"/>
          <w:szCs w:val="24"/>
        </w:rPr>
      </w:r>
    </w:p>
    <w:p>
      <w:pPr>
        <w:pStyle w:val="Ttulo1"/>
        <w:numPr>
          <w:ilvl w:val="0"/>
          <w:numId w:val="1"/>
        </w:numPr>
        <w:rPr>
          <w:rFonts w:ascii="Calibri" w:hAnsi="Calibri"/>
          <w:sz w:val="24"/>
          <w:szCs w:val="24"/>
        </w:rPr>
      </w:pPr>
      <w:bookmarkStart w:id="1" w:name="_Toc118380899"/>
      <w:r>
        <w:rPr>
          <w:rFonts w:ascii="Calibri" w:hAnsi="Calibri"/>
          <w:sz w:val="24"/>
          <w:szCs w:val="24"/>
        </w:rPr>
        <w:t>OBJETO DA CONTRATAÇÃO DIRETA</w:t>
      </w:r>
      <w:bookmarkEnd w:id="1"/>
    </w:p>
    <w:p>
      <w:pPr>
        <w:pStyle w:val="PADRO"/>
        <w:keepNext w:val="false"/>
        <w:widowControl/>
        <w:numPr>
          <w:ilvl w:val="1"/>
          <w:numId w:val="2"/>
        </w:numPr>
        <w:shd w:val="clear" w:color="auto" w:fill="auto"/>
        <w:suppressAutoHyphens w:val="true"/>
        <w:bidi w:val="0"/>
        <w:spacing w:lineRule="auto" w:line="276" w:before="120" w:after="120"/>
        <w:ind w:left="0" w:right="0" w:hanging="0"/>
        <w:jc w:val="both"/>
        <w:textAlignment w:val="baseline"/>
        <w:rPr>
          <w:rFonts w:ascii="Calibri" w:hAnsi="Calibri"/>
          <w:sz w:val="24"/>
          <w:szCs w:val="24"/>
        </w:rPr>
      </w:pPr>
      <w:r>
        <w:rPr>
          <w:rFonts w:cs="Arial" w:ascii="Calibri" w:hAnsi="Calibri"/>
          <w:color w:val="000000" w:themeColor="text1"/>
          <w:sz w:val="24"/>
          <w:szCs w:val="24"/>
        </w:rPr>
        <w:t xml:space="preserve">O objeto da presente dispensa é a escolha da proposta mais vantajosa para a </w:t>
      </w:r>
      <w:r>
        <w:rPr>
          <w:rFonts w:cs="Arial" w:ascii="Calibri" w:hAnsi="Calibri"/>
          <w:sz w:val="24"/>
          <w:szCs w:val="24"/>
        </w:rPr>
        <w:t xml:space="preserve">contratação, </w:t>
      </w:r>
      <w:r>
        <w:rPr>
          <w:rFonts w:cs="Arial" w:ascii="Calibri" w:hAnsi="Calibri"/>
          <w:color w:val="000000" w:themeColor="text1"/>
          <w:sz w:val="24"/>
          <w:szCs w:val="24"/>
        </w:rPr>
        <w:t xml:space="preserve">por dispensa de licitação, </w:t>
      </w:r>
      <w:r>
        <w:rPr>
          <w:rFonts w:cs="Arial" w:ascii="Calibri" w:hAnsi="Calibri"/>
          <w:sz w:val="24"/>
          <w:szCs w:val="24"/>
        </w:rPr>
        <w:t xml:space="preserve">de </w:t>
      </w:r>
      <w:r>
        <w:rPr>
          <w:rFonts w:cs="Arial" w:ascii="Calibri" w:hAnsi="Calibri"/>
          <w:color w:val="000000"/>
          <w:sz w:val="24"/>
          <w:szCs w:val="24"/>
        </w:rPr>
        <w:t xml:space="preserve">Serviço de Engenharia visando a elaboração de Projeto de Arquitetura e Projetos Complementares, Orçamentos, Cronograma Físico-Financeiro </w:t>
      </w:r>
      <w:r>
        <w:rPr>
          <w:rFonts w:cs="Arial" w:ascii="Calibri" w:hAnsi="Calibri"/>
          <w:sz w:val="24"/>
          <w:szCs w:val="24"/>
        </w:rPr>
        <w:t>e demais documentos</w:t>
      </w:r>
      <w:r>
        <w:rPr>
          <w:rFonts w:cs="Arial" w:ascii="Calibri" w:hAnsi="Calibri"/>
          <w:color w:val="000000"/>
          <w:sz w:val="24"/>
          <w:szCs w:val="24"/>
        </w:rPr>
        <w:t xml:space="preserve"> necessários à contratação das obras de modernização da Divisão de Municiamento do CeIMPL</w:t>
      </w:r>
      <w:r>
        <w:rPr>
          <w:rFonts w:cs="Arial" w:ascii="Calibri" w:hAnsi="Calibri"/>
          <w:b/>
          <w:bCs/>
          <w:color w:val="000000" w:themeColor="text1"/>
          <w:sz w:val="24"/>
          <w:szCs w:val="24"/>
        </w:rPr>
        <w:t>,</w:t>
      </w:r>
      <w:r>
        <w:rPr>
          <w:rFonts w:cs="Arial" w:ascii="Calibri" w:hAnsi="Calibri"/>
          <w:color w:val="000000" w:themeColor="text1"/>
          <w:sz w:val="24"/>
          <w:szCs w:val="24"/>
        </w:rPr>
        <w:t xml:space="preserve"> conforme condições, quantidades e exigências estabelecidas neste Aviso de Contratação Direta e seus anexos.</w:t>
      </w:r>
    </w:p>
    <w:p>
      <w:pPr>
        <w:pStyle w:val="PADRO"/>
        <w:keepNext w:val="false"/>
        <w:widowControl/>
        <w:numPr>
          <w:ilvl w:val="1"/>
          <w:numId w:val="2"/>
        </w:numPr>
        <w:shd w:val="clear" w:color="auto" w:fill="auto"/>
        <w:suppressAutoHyphens w:val="true"/>
        <w:bidi w:val="0"/>
        <w:spacing w:lineRule="auto" w:line="276" w:before="120" w:after="120"/>
        <w:ind w:left="0" w:right="0" w:hanging="0"/>
        <w:jc w:val="both"/>
        <w:textAlignment w:val="baseline"/>
        <w:rPr>
          <w:rFonts w:ascii="Calibri" w:hAnsi="Calibri"/>
          <w:sz w:val="24"/>
          <w:szCs w:val="24"/>
        </w:rPr>
      </w:pPr>
      <w:r>
        <w:rPr>
          <w:rFonts w:cs="Arial" w:ascii="Calibri" w:hAnsi="Calibri"/>
          <w:sz w:val="24"/>
          <w:szCs w:val="24"/>
        </w:rPr>
        <w:t>A contratação ocorrerá conforme tabela abaixo.</w:t>
      </w:r>
    </w:p>
    <w:tbl>
      <w:tblPr>
        <w:tblW w:w="9101" w:type="dxa"/>
        <w:jc w:val="lef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val="0000"/>
      </w:tblPr>
      <w:tblGrid>
        <w:gridCol w:w="845"/>
        <w:gridCol w:w="3355"/>
        <w:gridCol w:w="1350"/>
        <w:gridCol w:w="1200"/>
        <w:gridCol w:w="845"/>
        <w:gridCol w:w="1506"/>
      </w:tblGrid>
      <w:tr>
        <w:trPr/>
        <w:tc>
          <w:tcPr>
            <w:tcW w:w="8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bidi w:val="0"/>
              <w:spacing w:lineRule="auto" w:line="240" w:before="0" w:after="0"/>
              <w:ind w:left="794" w:right="-170" w:hanging="850"/>
              <w:jc w:val="center"/>
              <w:rPr>
                <w:rFonts w:ascii="Calibri" w:hAnsi="Calibri"/>
                <w:sz w:val="24"/>
                <w:szCs w:val="24"/>
              </w:rPr>
            </w:pPr>
            <w:r>
              <w:rPr>
                <w:rFonts w:cs="Calibri" w:ascii="Calibri" w:hAnsi="Calibri" w:cstheme="minorHAnsi"/>
                <w:b/>
                <w:bCs/>
                <w:color w:val="000000"/>
                <w:sz w:val="24"/>
                <w:szCs w:val="24"/>
              </w:rPr>
              <w:t>ITEM</w:t>
            </w:r>
          </w:p>
        </w:tc>
        <w:tc>
          <w:tcPr>
            <w:tcW w:w="335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ind w:firstLine="57"/>
              <w:jc w:val="center"/>
              <w:rPr>
                <w:rFonts w:ascii="Calibri" w:hAnsi="Calibri" w:cs="Calibri" w:asciiTheme="minorHAnsi" w:cstheme="minorHAnsi" w:hAnsiTheme="minorHAnsi"/>
                <w:szCs w:val="20"/>
              </w:rPr>
            </w:pPr>
            <w:r>
              <w:rPr>
                <w:rFonts w:cs="Calibri" w:ascii="Calibri" w:hAnsi="Calibri" w:cstheme="minorHAnsi"/>
                <w:b/>
                <w:bCs/>
                <w:color w:val="000000"/>
                <w:sz w:val="24"/>
                <w:szCs w:val="24"/>
              </w:rPr>
              <w:t>ESPECIFICAÇÃO</w:t>
            </w:r>
          </w:p>
        </w:tc>
        <w:tc>
          <w:tcPr>
            <w:tcW w:w="13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Calibri" w:hAnsi="Calibri" w:cs="Calibri" w:asciiTheme="minorHAnsi" w:cstheme="minorHAnsi" w:hAnsiTheme="minorHAnsi"/>
                <w:szCs w:val="20"/>
              </w:rPr>
            </w:pPr>
            <w:r>
              <w:rPr>
                <w:rFonts w:cs="Calibri" w:ascii="Calibri" w:hAnsi="Calibri" w:cstheme="minorHAnsi"/>
                <w:b/>
                <w:bCs/>
                <w:color w:val="000000"/>
                <w:sz w:val="24"/>
                <w:szCs w:val="24"/>
              </w:rPr>
              <w:t>CATSER</w:t>
            </w:r>
          </w:p>
        </w:tc>
        <w:tc>
          <w:tcPr>
            <w:tcW w:w="12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Calibri" w:hAnsi="Calibri" w:cs="Calibri" w:asciiTheme="minorHAnsi" w:cstheme="minorHAnsi" w:hAnsiTheme="minorHAnsi"/>
                <w:szCs w:val="20"/>
              </w:rPr>
            </w:pPr>
            <w:r>
              <w:rPr>
                <w:rFonts w:cs="Calibri" w:ascii="Calibri" w:hAnsi="Calibri" w:cstheme="minorHAnsi"/>
                <w:b/>
                <w:bCs/>
                <w:color w:val="000000"/>
                <w:sz w:val="24"/>
                <w:szCs w:val="24"/>
              </w:rPr>
              <w:t>UNIDADE DE MEDIDA</w:t>
            </w:r>
          </w:p>
        </w:tc>
        <w:tc>
          <w:tcPr>
            <w:tcW w:w="8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ind w:left="-57" w:hanging="0"/>
              <w:jc w:val="center"/>
              <w:rPr>
                <w:rFonts w:ascii="Calibri" w:hAnsi="Calibri" w:cs="Calibri" w:asciiTheme="minorHAnsi" w:cstheme="minorHAnsi" w:hAnsiTheme="minorHAnsi"/>
                <w:szCs w:val="20"/>
              </w:rPr>
            </w:pPr>
            <w:r>
              <w:rPr>
                <w:rFonts w:cs="Calibri" w:ascii="Calibri" w:hAnsi="Calibri" w:cstheme="minorHAnsi"/>
                <w:b/>
                <w:bCs/>
                <w:sz w:val="24"/>
                <w:szCs w:val="24"/>
              </w:rPr>
              <w:t>QTD</w:t>
            </w:r>
          </w:p>
        </w:tc>
        <w:tc>
          <w:tcPr>
            <w:tcW w:w="15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Calibri" w:hAnsi="Calibri" w:cs="Calibri" w:asciiTheme="minorHAnsi" w:cstheme="minorHAnsi" w:hAnsiTheme="minorHAnsi"/>
                <w:szCs w:val="20"/>
              </w:rPr>
            </w:pPr>
            <w:r>
              <w:rPr>
                <w:rFonts w:cs="Calibri" w:ascii="Calibri" w:hAnsi="Calibri" w:cstheme="minorHAnsi"/>
                <w:b/>
                <w:bCs/>
                <w:sz w:val="24"/>
                <w:szCs w:val="24"/>
              </w:rPr>
              <w:t>VALOR UNITÁRIO</w:t>
            </w:r>
          </w:p>
        </w:tc>
      </w:tr>
      <w:tr>
        <w:trPr/>
        <w:tc>
          <w:tcPr>
            <w:tcW w:w="8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Calibri" w:hAnsi="Calibri" w:cs="Calibri" w:asciiTheme="minorHAnsi" w:cstheme="minorHAnsi" w:hAnsiTheme="minorHAnsi"/>
                <w:bCs/>
                <w:szCs w:val="20"/>
              </w:rPr>
            </w:pPr>
            <w:r>
              <w:rPr>
                <w:rFonts w:cs="Calibri" w:ascii="Calibri" w:hAnsi="Calibri" w:cstheme="minorHAnsi"/>
                <w:bCs/>
                <w:color w:val="000000"/>
                <w:sz w:val="24"/>
                <w:szCs w:val="24"/>
              </w:rPr>
              <w:t>1</w:t>
            </w:r>
          </w:p>
        </w:tc>
        <w:tc>
          <w:tcPr>
            <w:tcW w:w="335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Calibri" w:hAnsi="Calibri"/>
                <w:sz w:val="24"/>
                <w:szCs w:val="24"/>
              </w:rPr>
            </w:pPr>
            <w:r>
              <w:rPr>
                <w:rFonts w:cs="Calibri" w:ascii="Calibri" w:hAnsi="Calibri" w:cstheme="minorHAnsi"/>
                <w:color w:val="000000"/>
                <w:sz w:val="24"/>
                <w:szCs w:val="24"/>
              </w:rPr>
              <w:t xml:space="preserve">Elaboração de Projeto de Arquitetura e Projetos Complementares, Orçamentos, Cronograma Físico-Financeiro </w:t>
            </w:r>
            <w:r>
              <w:rPr>
                <w:rFonts w:cs="Calibri" w:ascii="Calibri" w:hAnsi="Calibri" w:cstheme="minorHAnsi"/>
                <w:sz w:val="24"/>
                <w:szCs w:val="24"/>
              </w:rPr>
              <w:t>e demais documentos</w:t>
            </w:r>
            <w:r>
              <w:rPr>
                <w:rFonts w:cs="Calibri" w:ascii="Calibri" w:hAnsi="Calibri" w:cstheme="minorHAnsi"/>
                <w:color w:val="000000"/>
                <w:sz w:val="24"/>
                <w:szCs w:val="24"/>
              </w:rPr>
              <w:t xml:space="preserve"> necessários à contratação das obras de modernização da Divisão de Municiamento do CeIMPL.</w:t>
            </w:r>
          </w:p>
        </w:tc>
        <w:tc>
          <w:tcPr>
            <w:tcW w:w="13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ind w:left="-57" w:hanging="0"/>
              <w:jc w:val="center"/>
              <w:rPr>
                <w:rFonts w:ascii="Calibri" w:hAnsi="Calibri" w:cs="Calibri" w:asciiTheme="minorHAnsi" w:cstheme="minorHAnsi" w:hAnsiTheme="minorHAnsi"/>
                <w:szCs w:val="20"/>
              </w:rPr>
            </w:pPr>
            <w:r>
              <w:rPr>
                <w:rFonts w:cs="Calibri" w:ascii="Calibri" w:hAnsi="Calibri" w:cstheme="minorHAnsi"/>
                <w:color w:val="000000"/>
                <w:sz w:val="24"/>
                <w:szCs w:val="24"/>
              </w:rPr>
              <w:t xml:space="preserve">78 - Estudos e Projetos de Arquitetura </w:t>
            </w:r>
          </w:p>
        </w:tc>
        <w:tc>
          <w:tcPr>
            <w:tcW w:w="12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Calibri" w:hAnsi="Calibri" w:cs="Calibri" w:asciiTheme="minorHAnsi" w:cstheme="minorHAnsi" w:hAnsiTheme="minorHAnsi"/>
                <w:szCs w:val="20"/>
              </w:rPr>
            </w:pPr>
            <w:r>
              <w:rPr>
                <w:rFonts w:cs="Calibri" w:ascii="Calibri" w:hAnsi="Calibri" w:cstheme="minorHAnsi"/>
                <w:color w:val="000000"/>
                <w:sz w:val="24"/>
                <w:szCs w:val="24"/>
              </w:rPr>
              <w:t>Serviço</w:t>
            </w:r>
          </w:p>
        </w:tc>
        <w:tc>
          <w:tcPr>
            <w:tcW w:w="8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Calibri" w:hAnsi="Calibri" w:cs="Calibri" w:asciiTheme="minorHAnsi" w:cstheme="minorHAnsi" w:hAnsiTheme="minorHAnsi"/>
                <w:szCs w:val="20"/>
              </w:rPr>
            </w:pPr>
            <w:r>
              <w:rPr>
                <w:rFonts w:cs="Calibri" w:ascii="Calibri" w:hAnsi="Calibri" w:cstheme="minorHAnsi"/>
                <w:color w:val="000000"/>
                <w:sz w:val="24"/>
                <w:szCs w:val="24"/>
              </w:rPr>
              <w:t>1</w:t>
            </w:r>
          </w:p>
        </w:tc>
        <w:tc>
          <w:tcPr>
            <w:tcW w:w="15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rPr>
                <w:rFonts w:ascii="Calibri" w:hAnsi="Calibri" w:cs="Calibri" w:asciiTheme="minorHAnsi" w:cstheme="minorHAnsi" w:hAnsiTheme="minorHAnsi"/>
                <w:szCs w:val="20"/>
              </w:rPr>
            </w:pPr>
            <w:bookmarkStart w:id="2" w:name="_Hlk137681217"/>
            <w:r>
              <w:rPr>
                <w:rFonts w:cs="Calibri" w:ascii="Calibri" w:hAnsi="Calibri" w:cstheme="minorHAnsi"/>
                <w:color w:val="000000"/>
                <w:sz w:val="24"/>
                <w:szCs w:val="24"/>
              </w:rPr>
              <w:t>R$ 61.508,82</w:t>
            </w:r>
            <w:bookmarkEnd w:id="2"/>
          </w:p>
        </w:tc>
      </w:tr>
    </w:tbl>
    <w:p>
      <w:pPr>
        <w:pStyle w:val="PADRO"/>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Havendo mais de um item, faculta-se ao fornecedor a participação em quantos forem de seu interesse.</w:t>
      </w:r>
    </w:p>
    <w:p>
      <w:pPr>
        <w:pStyle w:val="PADRO"/>
        <w:keepNext w:val="false"/>
        <w:widowControl w:val="false"/>
        <w:numPr>
          <w:ilvl w:val="1"/>
          <w:numId w:val="2"/>
        </w:numPr>
        <w:shd w:val="clear" w:color="auto" w:fill="auto"/>
        <w:suppressAutoHyphens w:val="true"/>
        <w:bidi w:val="0"/>
        <w:spacing w:lineRule="auto" w:line="276" w:before="120" w:after="120"/>
        <w:ind w:left="0" w:right="0" w:hanging="0"/>
        <w:jc w:val="both"/>
        <w:textAlignment w:val="baseline"/>
        <w:rPr>
          <w:rFonts w:ascii="Calibri" w:hAnsi="Calibri"/>
          <w:sz w:val="24"/>
          <w:szCs w:val="24"/>
        </w:rPr>
      </w:pPr>
      <w:r>
        <w:rPr>
          <w:rFonts w:cs="Arial" w:ascii="Calibri" w:hAnsi="Calibri"/>
          <w:sz w:val="24"/>
          <w:szCs w:val="24"/>
        </w:rPr>
        <w:t>O critério de julgamento adotado será o menor preço</w:t>
      </w:r>
      <w:r>
        <w:rPr>
          <w:rFonts w:cs="Arial" w:ascii="Calibri" w:hAnsi="Calibri"/>
          <w:i/>
          <w:iCs/>
          <w:sz w:val="24"/>
          <w:szCs w:val="24"/>
        </w:rPr>
        <w:t>,</w:t>
      </w:r>
      <w:r>
        <w:rPr>
          <w:rFonts w:cs="Arial" w:ascii="Calibri" w:hAnsi="Calibri"/>
          <w:sz w:val="24"/>
          <w:szCs w:val="24"/>
        </w:rPr>
        <w:t>observadas as exigências contidas neste Aviso de Contratação Direta e seus Anexos quanto às especificações do objeto.</w:t>
      </w:r>
    </w:p>
    <w:p>
      <w:pPr>
        <w:pStyle w:val="PADRO"/>
        <w:widowControl w:val="false"/>
        <w:numPr>
          <w:ilvl w:val="0"/>
          <w:numId w:val="0"/>
        </w:numPr>
        <w:shd w:val="clear" w:color="auto" w:fill="auto"/>
        <w:suppressAutoHyphens w:val="true"/>
        <w:bidi w:val="0"/>
        <w:spacing w:lineRule="auto" w:line="276" w:before="120" w:after="120"/>
        <w:ind w:left="858" w:right="0" w:hanging="0"/>
        <w:jc w:val="both"/>
        <w:textAlignment w:val="baseline"/>
        <w:rPr>
          <w:rFonts w:cs="Arial"/>
        </w:rPr>
      </w:pPr>
      <w:r>
        <w:rPr>
          <w:rFonts w:ascii="Calibri" w:hAnsi="Calibri"/>
          <w:sz w:val="24"/>
          <w:szCs w:val="24"/>
        </w:rPr>
      </w:r>
    </w:p>
    <w:p>
      <w:pPr>
        <w:pStyle w:val="Ttulo1"/>
        <w:widowControl w:val="false"/>
        <w:numPr>
          <w:ilvl w:val="0"/>
          <w:numId w:val="2"/>
        </w:numPr>
        <w:rPr>
          <w:rFonts w:ascii="Calibri" w:hAnsi="Calibri"/>
          <w:sz w:val="24"/>
          <w:szCs w:val="24"/>
        </w:rPr>
      </w:pPr>
      <w:bookmarkStart w:id="3" w:name="_Toc118380900"/>
      <w:r>
        <w:rPr>
          <w:rFonts w:ascii="Calibri" w:hAnsi="Calibri"/>
          <w:sz w:val="24"/>
          <w:szCs w:val="24"/>
        </w:rPr>
        <w:t>PARTICIPAÇÃO NA DISPENSA ELETRÔNICA.</w:t>
      </w:r>
      <w:bookmarkEnd w:id="3"/>
    </w:p>
    <w:p>
      <w:pPr>
        <w:pStyle w:val="Normal"/>
        <w:widowControl w:val="false"/>
        <w:numPr>
          <w:ilvl w:val="1"/>
          <w:numId w:val="2"/>
        </w:numPr>
        <w:suppressAutoHyphens w:val="true"/>
        <w:bidi w:val="0"/>
        <w:spacing w:lineRule="auto" w:line="276" w:before="120" w:after="120"/>
        <w:ind w:left="0" w:right="0" w:hanging="0"/>
        <w:jc w:val="both"/>
        <w:rPr/>
      </w:pPr>
      <w:r>
        <w:rPr>
          <w:rFonts w:cs="Arial" w:ascii="Calibri" w:hAnsi="Calibri"/>
          <w:sz w:val="24"/>
          <w:szCs w:val="24"/>
        </w:rPr>
        <w:t xml:space="preserve">A participação na presente dispensa eletrônica ocorrerá por meio do </w:t>
      </w:r>
      <w:r>
        <w:rPr>
          <w:rFonts w:cs="Arial" w:ascii="Calibri" w:hAnsi="Calibri"/>
          <w:bCs/>
          <w:sz w:val="24"/>
          <w:szCs w:val="24"/>
        </w:rPr>
        <w:t>Sistema de Dispensa Eletrônica, ferramenta informatizada</w:t>
      </w:r>
      <w:r>
        <w:rPr>
          <w:rFonts w:cs="Arial" w:ascii="Calibri" w:hAnsi="Calibri"/>
          <w:sz w:val="24"/>
          <w:szCs w:val="24"/>
        </w:rPr>
        <w:t xml:space="preserve"> integrante do Sistema de Compras do Governo Federal – Compras.gov.br, disponível no </w:t>
      </w:r>
      <w:r>
        <w:rPr>
          <w:rFonts w:cs="Arial" w:ascii="Calibri" w:hAnsi="Calibri"/>
          <w:bCs/>
          <w:sz w:val="24"/>
          <w:szCs w:val="24"/>
        </w:rPr>
        <w:t xml:space="preserve">Portal de Compras do Governo Federal, no endereço eletrônico </w:t>
      </w:r>
      <w:hyperlink r:id="rId5">
        <w:r>
          <w:rPr>
            <w:rStyle w:val="LinkdaInternet"/>
            <w:rFonts w:cs="Arial" w:ascii="Calibri" w:hAnsi="Calibri"/>
            <w:bCs/>
            <w:color w:val="auto"/>
            <w:sz w:val="24"/>
            <w:szCs w:val="24"/>
            <w:u w:val="none"/>
          </w:rPr>
          <w:t>www.gov.br/compras</w:t>
        </w:r>
      </w:hyperlink>
      <w:r>
        <w:rPr>
          <w:rFonts w:cs="Arial" w:ascii="Calibri" w:hAnsi="Calibri"/>
          <w:bCs/>
          <w:sz w:val="24"/>
          <w:szCs w:val="24"/>
        </w:rPr>
        <w:t>.</w:t>
      </w:r>
    </w:p>
    <w:p>
      <w:pPr>
        <w:pStyle w:val="Normal"/>
        <w:keepNext w:val="false"/>
        <w:widowControl w:val="false"/>
        <w:numPr>
          <w:ilvl w:val="2"/>
          <w:numId w:val="2"/>
        </w:numPr>
        <w:shd w:val="clear" w:color="auto" w:fill="auto"/>
        <w:tabs>
          <w:tab w:val="left" w:pos="791" w:leader="none"/>
        </w:tabs>
        <w:suppressAutoHyphens w:val="true"/>
        <w:bidi w:val="0"/>
        <w:spacing w:lineRule="auto" w:line="276" w:before="120" w:after="120"/>
        <w:ind w:left="567" w:right="0" w:hanging="0"/>
        <w:jc w:val="both"/>
        <w:textAlignment w:val="baseline"/>
        <w:rPr/>
      </w:pPr>
      <w:r>
        <w:rPr>
          <w:rFonts w:cs="Arial" w:ascii="Calibri" w:hAnsi="Calibri"/>
          <w:sz w:val="24"/>
          <w:szCs w:val="24"/>
        </w:rPr>
        <w:t xml:space="preserve">O procedimento será divulgado no Compras.gov.br e no </w:t>
      </w:r>
      <w:hyperlink r:id="rId6">
        <w:r>
          <w:rPr>
            <w:rStyle w:val="LinkdaInternet"/>
            <w:rFonts w:cs="Arial" w:ascii="Calibri" w:hAnsi="Calibri"/>
            <w:color w:val="auto"/>
            <w:sz w:val="24"/>
            <w:szCs w:val="24"/>
            <w:u w:val="none"/>
          </w:rPr>
          <w:t>Portal Nacional de Contratações Públicas - PNCP</w:t>
        </w:r>
      </w:hyperlink>
      <w:r>
        <w:rPr>
          <w:rFonts w:cs="Arial" w:ascii="Calibri" w:hAnsi="Calibri"/>
          <w:sz w:val="24"/>
          <w:szCs w:val="24"/>
        </w:rPr>
        <w:t>, e encaminhado automaticamente aos fornecedores registrados no Sistema de Registro Cadastral Unificado - Sicaf, por mensagem eletrônica, na correspondente linha de fornecimento que pretende atender.</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pPr>
      <w:r>
        <w:rPr>
          <w:rFonts w:cs="Arial" w:ascii="Calibri" w:hAnsi="Calibri"/>
          <w:sz w:val="24"/>
          <w:szCs w:val="24"/>
        </w:rPr>
        <w:t xml:space="preserve">O Compras.gov.br poderá ser acessado pela web ou pelo </w:t>
      </w:r>
      <w:hyperlink r:id="rId7">
        <w:r>
          <w:rPr>
            <w:rStyle w:val="LinkdaInternet"/>
            <w:rFonts w:cs="Arial" w:ascii="Calibri" w:hAnsi="Calibri"/>
            <w:color w:val="auto"/>
            <w:sz w:val="24"/>
            <w:szCs w:val="24"/>
            <w:u w:val="none"/>
          </w:rPr>
          <w:t>aplicativo Compras.gov.br.</w:t>
        </w:r>
      </w:hyperlink>
    </w:p>
    <w:p>
      <w:pPr>
        <w:pStyle w:val="Normal"/>
        <w:keepNext w:val="false"/>
        <w:widowControl w:val="false"/>
        <w:numPr>
          <w:ilvl w:val="2"/>
          <w:numId w:val="2"/>
        </w:numPr>
        <w:shd w:val="clear" w:color="auto" w:fill="auto"/>
        <w:suppressAutoHyphens w:val="true"/>
        <w:bidi w:val="0"/>
        <w:snapToGrid w:val="false"/>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widowControl w:val="false"/>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themeColor="text1"/>
          <w:sz w:val="24"/>
          <w:szCs w:val="24"/>
        </w:rPr>
        <w:t>Não poderão participar desta dispensa de licitação os fornecedores: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rPr>
        <w:t>que não atendam às condições deste Aviso de Contratação Direta e seu(s) anexo(s);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rPr>
        <w:t>estrangeiros que não tenham representação legal no Brasil com poderes expressos para receber citação e responder administrativa ou judicialmente;</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rPr>
        <w:t>que se enquadrem nas seguintes vedações: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autor do anteprojeto, do projeto básico ou do projeto executivo, pessoa física ou jurídica, quando a contratação versar sobre obra, serviços ou fornecimento de bens a ele relacionados;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keepNext w:val="false"/>
        <w:widowControl w:val="false"/>
        <w:numPr>
          <w:ilvl w:val="2"/>
          <w:numId w:val="2"/>
        </w:numPr>
        <w:shd w:val="clear" w:color="auto" w:fill="auto"/>
        <w:tabs>
          <w:tab w:val="left" w:pos="1140" w:leader="none"/>
        </w:tabs>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pessoa física ou jurídica que se encontre, ao tempo da contratação, impossibilitada de contratar em decorrência de sanção que lhe foi imposta;</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pPr>
      <w:r>
        <w:rPr>
          <w:rFonts w:cs="Arial" w:ascii="Calibri" w:hAnsi="Calibri"/>
          <w:sz w:val="24"/>
          <w:szCs w:val="24"/>
        </w:rPr>
        <w:t>empresas controladoras, controladas ou coligadas, nos termos da </w:t>
      </w:r>
      <w:hyperlink r:id="rId8">
        <w:r>
          <w:rPr>
            <w:rStyle w:val="LinkdaInternet"/>
            <w:rFonts w:eastAsia="Calibri" w:cs="Arial" w:ascii="Calibri" w:hAnsi="Calibri"/>
            <w:color w:val="auto"/>
            <w:sz w:val="24"/>
            <w:szCs w:val="24"/>
            <w:u w:val="none"/>
          </w:rPr>
          <w:t>Lei nº 6.404, de 15 de dezembro de 1976</w:t>
        </w:r>
      </w:hyperlink>
      <w:r>
        <w:rPr>
          <w:rFonts w:cs="Arial" w:ascii="Calibri" w:hAnsi="Calibri"/>
          <w:sz w:val="24"/>
          <w:szCs w:val="24"/>
        </w:rPr>
        <w:t>, concorrendo entre si;</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widowControl/>
        <w:numPr>
          <w:ilvl w:val="0"/>
          <w:numId w:val="0"/>
        </w:numPr>
        <w:tabs>
          <w:tab w:val="left" w:pos="2100" w:leader="none"/>
        </w:tabs>
        <w:suppressAutoHyphens w:val="true"/>
        <w:bidi w:val="0"/>
        <w:spacing w:lineRule="auto" w:line="276" w:before="120" w:after="120"/>
        <w:ind w:left="2862" w:right="0" w:hanging="0"/>
        <w:jc w:val="both"/>
        <w:rPr>
          <w:rFonts w:ascii="Calibri" w:hAnsi="Calibri"/>
          <w:sz w:val="24"/>
          <w:szCs w:val="24"/>
        </w:rPr>
      </w:pPr>
      <w:r>
        <w:rPr>
          <w:rFonts w:cs="Arial" w:ascii="Calibri" w:hAnsi="Calibri"/>
          <w:b/>
          <w:bCs/>
          <w:color w:val="000000"/>
          <w:sz w:val="24"/>
          <w:szCs w:val="24"/>
        </w:rPr>
        <w:t xml:space="preserve">2.2.9.1. </w:t>
      </w:r>
      <w:r>
        <w:rPr>
          <w:rFonts w:cs="Arial" w:ascii="Calibri" w:hAnsi="Calibri"/>
          <w:color w:val="000000"/>
          <w:sz w:val="24"/>
          <w:szCs w:val="24"/>
        </w:rPr>
        <w:tab/>
      </w:r>
      <w:r>
        <w:rPr>
          <w:rFonts w:cs="Arial" w:ascii="Calibri" w:hAnsi="Calibri"/>
          <w:color w:val="000000"/>
          <w:sz w:val="24"/>
          <w:szCs w:val="24"/>
        </w:rPr>
        <w:t>Equiparam-se aos autores do projeto as empresas integrantes do mesmo grupo econômico;</w:t>
      </w:r>
    </w:p>
    <w:p>
      <w:pPr>
        <w:pStyle w:val="Normal"/>
        <w:widowControl/>
        <w:numPr>
          <w:ilvl w:val="0"/>
          <w:numId w:val="0"/>
        </w:numPr>
        <w:suppressAutoHyphens w:val="true"/>
        <w:bidi w:val="0"/>
        <w:spacing w:lineRule="auto" w:line="276" w:before="120" w:after="120"/>
        <w:ind w:left="2862" w:right="0" w:hanging="0"/>
        <w:jc w:val="both"/>
        <w:rPr>
          <w:rFonts w:ascii="Calibri" w:hAnsi="Calibri"/>
          <w:sz w:val="24"/>
          <w:szCs w:val="24"/>
        </w:rPr>
      </w:pPr>
      <w:r>
        <w:rPr>
          <w:rFonts w:cs="Arial" w:ascii="Calibri" w:hAnsi="Calibri"/>
          <w:b/>
          <w:bCs/>
          <w:color w:val="000000"/>
          <w:sz w:val="24"/>
          <w:szCs w:val="24"/>
        </w:rPr>
        <w:t>2.2.9.2.</w:t>
      </w:r>
      <w:r>
        <w:rPr>
          <w:rFonts w:cs="Arial" w:ascii="Calibri" w:hAnsi="Calibri"/>
          <w:color w:val="000000"/>
          <w:sz w:val="24"/>
          <w:szCs w:val="24"/>
        </w:rPr>
        <w:tab/>
      </w:r>
      <w:r>
        <w:rPr>
          <w:rFonts w:cs="Arial" w:ascii="Calibri" w:hAnsi="Calibri"/>
          <w:color w:val="000000"/>
          <w:sz w:val="24"/>
          <w:szCs w:val="24"/>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 xml:space="preserve">organizações da Sociedade Civil de Interesse Público - OSCIP, atuando nessa </w:t>
      </w:r>
      <w:r>
        <w:rPr>
          <w:rFonts w:cs="Arial" w:ascii="Calibri" w:hAnsi="Calibri"/>
          <w:sz w:val="24"/>
          <w:szCs w:val="24"/>
        </w:rPr>
        <w:t>condição (Acórdão nº 746/2014-TCU-Plenário); e</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sociedades cooperativas.</w:t>
      </w:r>
      <w:bookmarkStart w:id="4" w:name="_Hlk519667815"/>
      <w:bookmarkEnd w:id="4"/>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4"/>
          <w:u w:val="none"/>
          <w:szCs w:val="24"/>
          <w:bCs/>
          <w:rFonts w:cs="Arial" w:ascii="Calibri" w:hAnsi="Calibri"/>
        </w:rPr>
        <w:instrText> HYPERLINK "http://www.planalto.gov.br/ccivil_03/_ato2019-2022/2021/lei/L14133.htm" \l "art9§1"</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 1º do art. 9º da Lei n.º 14.133, de 2021</w:t>
      </w:r>
      <w:r>
        <w:rPr>
          <w:rStyle w:val="LinkdaInternet"/>
          <w:sz w:val="24"/>
          <w:u w:val="none"/>
          <w:szCs w:val="24"/>
          <w:bCs/>
          <w:rFonts w:cs="Arial" w:ascii="Calibri" w:hAnsi="Calibri"/>
        </w:rPr>
        <w:fldChar w:fldCharType="end"/>
      </w:r>
      <w:r>
        <w:rPr>
          <w:rFonts w:cs="Arial" w:ascii="Calibri" w:hAnsi="Calibri"/>
          <w:bCs/>
          <w:sz w:val="24"/>
          <w:szCs w:val="24"/>
        </w:rPr>
        <w:t>.</w:t>
      </w:r>
    </w:p>
    <w:p>
      <w:pPr>
        <w:pStyle w:val="Normal"/>
        <w:widowControl/>
        <w:numPr>
          <w:ilvl w:val="0"/>
          <w:numId w:val="0"/>
        </w:numPr>
        <w:suppressAutoHyphens w:val="true"/>
        <w:bidi w:val="0"/>
        <w:spacing w:lineRule="auto" w:line="276" w:before="120" w:after="120"/>
        <w:ind w:left="858" w:right="0" w:hanging="0"/>
        <w:jc w:val="both"/>
        <w:rPr>
          <w:rFonts w:ascii="Calibri" w:hAnsi="Calibri" w:cs="Arial"/>
          <w:bCs/>
          <w:sz w:val="24"/>
          <w:szCs w:val="24"/>
        </w:rPr>
      </w:pPr>
      <w:r>
        <w:rPr/>
      </w:r>
    </w:p>
    <w:p>
      <w:pPr>
        <w:pStyle w:val="Ttulo1"/>
        <w:numPr>
          <w:ilvl w:val="0"/>
          <w:numId w:val="2"/>
        </w:numPr>
        <w:rPr>
          <w:rFonts w:ascii="Calibri" w:hAnsi="Calibri"/>
          <w:sz w:val="24"/>
          <w:szCs w:val="24"/>
        </w:rPr>
      </w:pPr>
      <w:bookmarkStart w:id="5" w:name="_Toc118380901"/>
      <w:r>
        <w:rPr>
          <w:rFonts w:ascii="Calibri" w:hAnsi="Calibri"/>
          <w:sz w:val="24"/>
          <w:szCs w:val="24"/>
        </w:rPr>
        <w:t>INGRESSO NA DISPENSA ELETRÔNICA E CADASTRAMENTO DA PROPOSTA INICIAL</w:t>
      </w:r>
      <w:bookmarkEnd w:id="5"/>
    </w:p>
    <w:p>
      <w:pPr>
        <w:pStyle w:val="Normal"/>
        <w:widowControl/>
        <w:numPr>
          <w:ilvl w:val="1"/>
          <w:numId w:val="2"/>
        </w:numPr>
        <w:suppressAutoHyphens w:val="true"/>
        <w:bidi w:val="0"/>
        <w:snapToGrid w:val="false"/>
        <w:spacing w:lineRule="auto" w:line="276" w:before="120" w:after="120"/>
        <w:ind w:left="0" w:right="0" w:hanging="0"/>
        <w:jc w:val="both"/>
        <w:rPr>
          <w:rFonts w:ascii="Calibri" w:hAnsi="Calibri"/>
          <w:sz w:val="24"/>
          <w:szCs w:val="24"/>
        </w:rPr>
      </w:pPr>
      <w:r>
        <w:rPr>
          <w:rFonts w:cs="Arial" w:ascii="Calibri" w:hAnsi="Calibri"/>
          <w:color w:val="000000" w:themeColor="text1"/>
          <w:sz w:val="24"/>
          <w:szCs w:val="24"/>
        </w:rPr>
        <w:t>O ingresso do fornecedor na disputa da dispensa eletrônica ocorrerá com o cadastramento de sua proposta inicial, na forma deste item.</w:t>
      </w:r>
    </w:p>
    <w:p>
      <w:pPr>
        <w:pStyle w:val="Normal"/>
        <w:widowControl/>
        <w:numPr>
          <w:ilvl w:val="1"/>
          <w:numId w:val="2"/>
        </w:numPr>
        <w:suppressAutoHyphens w:val="true"/>
        <w:bidi w:val="0"/>
        <w:snapToGrid w:val="false"/>
        <w:spacing w:lineRule="auto" w:line="276" w:before="120" w:after="120"/>
        <w:ind w:left="0" w:right="0" w:hanging="0"/>
        <w:jc w:val="both"/>
        <w:rPr>
          <w:rFonts w:ascii="Calibri" w:hAnsi="Calibri"/>
          <w:sz w:val="24"/>
          <w:szCs w:val="24"/>
        </w:rPr>
      </w:pPr>
      <w:r>
        <w:rPr>
          <w:rFonts w:cs="Arial" w:ascii="Calibri" w:hAnsi="Calibri"/>
          <w:color w:val="000000" w:themeColor="text1"/>
          <w:sz w:val="24"/>
          <w:szCs w:val="24"/>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Normal"/>
        <w:widowControl w:val="false"/>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sz w:val="24"/>
          <w:szCs w:val="24"/>
        </w:rPr>
        <w:t xml:space="preserve">Todas as especificações do </w:t>
      </w:r>
      <w:r>
        <w:rPr>
          <w:rFonts w:cs="Arial" w:ascii="Calibri" w:hAnsi="Calibri"/>
          <w:color w:val="000000" w:themeColor="text1"/>
          <w:sz w:val="24"/>
          <w:szCs w:val="24"/>
        </w:rPr>
        <w:t>objeto</w:t>
      </w:r>
      <w:r>
        <w:rPr>
          <w:rFonts w:cs="Arial" w:ascii="Calibri" w:hAnsi="Calibri"/>
          <w:sz w:val="24"/>
          <w:szCs w:val="24"/>
        </w:rPr>
        <w:t xml:space="preserve"> contidas na proposta, em especial o preço ou o desconto ofertados, vinculam a Contratada.</w:t>
      </w:r>
    </w:p>
    <w:p>
      <w:pPr>
        <w:pStyle w:val="Normal"/>
        <w:widowControl w:val="false"/>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sz w:val="24"/>
          <w:szCs w:val="24"/>
        </w:rPr>
        <w:t>Nos valores propostos estarão inclusos todos os custos operacionais, encargos previdenciários, trabalhistas, tributários, comerciais e quaisquer outros que incidam direta ou indiretamente na execução do objeto;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sz w:val="24"/>
          <w:szCs w:val="24"/>
        </w:rPr>
        <w:t>Independentemente do percentual do tributo que constar da planilha, no pagamento serão retidos na fonte os percentuais estabelecidos pela legislação vigente.</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sz w:val="24"/>
          <w:szCs w:val="24"/>
        </w:rPr>
        <w:t xml:space="preserve">A apresentação das propostas implica obrigatoriedade do cumprimento das disposições nelas contidas, em conformidade com o que dispõe o </w:t>
      </w:r>
      <w:r>
        <w:rPr>
          <w:rFonts w:cs="Arial" w:ascii="Calibri" w:hAnsi="Calibri"/>
          <w:iCs/>
          <w:sz w:val="24"/>
          <w:szCs w:val="24"/>
        </w:rPr>
        <w:t>Termo de Referência</w:t>
      </w:r>
      <w:r>
        <w:rPr>
          <w:rFonts w:cs="Arial" w:ascii="Calibri" w:hAnsi="Calibri"/>
          <w:i/>
          <w:sz w:val="24"/>
          <w:szCs w:val="24"/>
        </w:rPr>
        <w:t>,</w:t>
      </w:r>
      <w:r>
        <w:rPr>
          <w:rFonts w:cs="Arial" w:ascii="Calibri" w:hAnsi="Calibri"/>
          <w:sz w:val="24"/>
          <w:szCs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themeColor="text1"/>
          <w:sz w:val="24"/>
          <w:szCs w:val="24"/>
        </w:rPr>
        <w:t>No cadastramento da proposta inicial, o fornecedor deverá, também, assinalar Termo de Aceitação, em campo próprio do sistema eletrônico, relativo às seguintes declarações:</w:t>
      </w:r>
    </w:p>
    <w:p>
      <w:pPr>
        <w:pStyle w:val="ListParagraph"/>
        <w:numPr>
          <w:ilvl w:val="0"/>
          <w:numId w:val="3"/>
        </w:numPr>
        <w:tabs>
          <w:tab w:val="left" w:pos="1440" w:leader="none"/>
        </w:tabs>
        <w:snapToGrid w:val="false"/>
        <w:spacing w:lineRule="auto" w:line="276" w:before="120" w:after="120"/>
        <w:contextualSpacing/>
        <w:jc w:val="both"/>
        <w:rPr>
          <w:rFonts w:ascii="Calibri" w:hAnsi="Calibri" w:cs="Arial"/>
          <w:bCs/>
          <w:vanish/>
          <w:color w:val="000000" w:themeColor="text1"/>
          <w:sz w:val="24"/>
          <w:szCs w:val="24"/>
        </w:rPr>
      </w:pPr>
      <w:r>
        <w:rPr>
          <w:rFonts w:cs="Arial" w:ascii="Calibri" w:hAnsi="Calibri"/>
          <w:bCs/>
          <w:vanish/>
          <w:color w:val="000000" w:themeColor="text1"/>
          <w:sz w:val="24"/>
          <w:szCs w:val="24"/>
        </w:rPr>
      </w:r>
    </w:p>
    <w:p>
      <w:pPr>
        <w:pStyle w:val="ListParagraph"/>
        <w:numPr>
          <w:ilvl w:val="1"/>
          <w:numId w:val="3"/>
        </w:numPr>
        <w:tabs>
          <w:tab w:val="left" w:pos="1440" w:leader="none"/>
        </w:tabs>
        <w:snapToGrid w:val="false"/>
        <w:spacing w:lineRule="auto" w:line="276" w:before="120" w:after="120"/>
        <w:contextualSpacing/>
        <w:jc w:val="both"/>
        <w:rPr>
          <w:rFonts w:ascii="Calibri" w:hAnsi="Calibri" w:cs="Arial"/>
          <w:bCs/>
          <w:vanish/>
          <w:color w:val="000000" w:themeColor="text1"/>
          <w:sz w:val="24"/>
          <w:szCs w:val="24"/>
        </w:rPr>
      </w:pPr>
      <w:r>
        <w:rPr>
          <w:rFonts w:cs="Arial" w:ascii="Calibri" w:hAnsi="Calibri"/>
          <w:bCs/>
          <w:vanish/>
          <w:color w:val="000000" w:themeColor="text1"/>
          <w:sz w:val="24"/>
          <w:szCs w:val="24"/>
        </w:rPr>
      </w:r>
    </w:p>
    <w:p>
      <w:pPr>
        <w:pStyle w:val="ListParagraph"/>
        <w:numPr>
          <w:ilvl w:val="1"/>
          <w:numId w:val="3"/>
        </w:numPr>
        <w:tabs>
          <w:tab w:val="left" w:pos="1440" w:leader="none"/>
        </w:tabs>
        <w:snapToGrid w:val="false"/>
        <w:spacing w:lineRule="auto" w:line="276" w:before="120" w:after="120"/>
        <w:contextualSpacing/>
        <w:jc w:val="both"/>
        <w:rPr>
          <w:rFonts w:ascii="Calibri" w:hAnsi="Calibri" w:cs="Arial"/>
          <w:bCs/>
          <w:vanish/>
          <w:color w:val="000000" w:themeColor="text1"/>
          <w:sz w:val="24"/>
          <w:szCs w:val="24"/>
        </w:rPr>
      </w:pPr>
      <w:r>
        <w:rPr>
          <w:rFonts w:cs="Arial" w:ascii="Calibri" w:hAnsi="Calibri"/>
          <w:bCs/>
          <w:vanish/>
          <w:color w:val="000000" w:themeColor="text1"/>
          <w:sz w:val="24"/>
          <w:szCs w:val="24"/>
        </w:rPr>
      </w:r>
    </w:p>
    <w:p>
      <w:pPr>
        <w:pStyle w:val="ListParagraph"/>
        <w:numPr>
          <w:ilvl w:val="1"/>
          <w:numId w:val="3"/>
        </w:numPr>
        <w:tabs>
          <w:tab w:val="left" w:pos="1440" w:leader="none"/>
        </w:tabs>
        <w:snapToGrid w:val="false"/>
        <w:spacing w:lineRule="auto" w:line="276" w:before="120" w:after="120"/>
        <w:contextualSpacing/>
        <w:jc w:val="both"/>
        <w:rPr>
          <w:rFonts w:ascii="Calibri" w:hAnsi="Calibri" w:cs="Arial"/>
          <w:bCs/>
          <w:vanish/>
          <w:color w:val="000000" w:themeColor="text1"/>
          <w:sz w:val="24"/>
          <w:szCs w:val="24"/>
        </w:rPr>
      </w:pPr>
      <w:r>
        <w:rPr>
          <w:rFonts w:cs="Arial" w:ascii="Calibri" w:hAnsi="Calibri"/>
          <w:bCs/>
          <w:vanish/>
          <w:color w:val="000000" w:themeColor="text1"/>
          <w:sz w:val="24"/>
          <w:szCs w:val="24"/>
        </w:rPr>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rPr>
        <w:t>que inexistem fatos impeditivos para sua habilitação no certame, ciente da obrigatoriedade de declarar ocorrências posteriores;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rPr>
        <w:t>que está ciente e concorda com as condições contidas no Aviso de Contratação Direta e seus anexos;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rPr>
        <w:t>que se responsabiliza pelas transações que forem efetuadas no sistema, assumindo-as como firmes e verdadeiras;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pPr>
      <w:r>
        <w:rPr>
          <w:rFonts w:cs="Arial" w:ascii="Calibri" w:hAnsi="Calibri"/>
          <w:color w:val="000000" w:themeColor="text1"/>
          <w:sz w:val="24"/>
          <w:szCs w:val="24"/>
        </w:rPr>
        <w:t xml:space="preserve">que cumpre as exigências de reserva de cargos </w:t>
      </w:r>
      <w:r>
        <w:rPr>
          <w:rFonts w:cs="Arial" w:ascii="Calibri" w:hAnsi="Calibri"/>
          <w:sz w:val="24"/>
          <w:szCs w:val="24"/>
        </w:rPr>
        <w:t xml:space="preserve">para pessoa com deficiência e para reabilitado da Previdência Social, de que trata </w:t>
      </w:r>
      <w:r>
        <w:fldChar w:fldCharType="begin"/>
      </w:r>
      <w:r>
        <w:rPr>
          <w:rStyle w:val="LinkdaInternet"/>
          <w:sz w:val="24"/>
          <w:u w:val="none"/>
          <w:szCs w:val="24"/>
          <w:rFonts w:cs="Arial" w:ascii="Calibri" w:hAnsi="Calibri"/>
        </w:rPr>
        <w:instrText> HYPERLINK "https://www.planalto.gov.br/ccivil_03/leis/l8213cons.htm" \l "art93"</w:instrText>
      </w:r>
      <w:r>
        <w:rPr>
          <w:rStyle w:val="LinkdaInternet"/>
          <w:sz w:val="24"/>
          <w:u w:val="none"/>
          <w:szCs w:val="24"/>
          <w:rFonts w:cs="Arial" w:ascii="Calibri" w:hAnsi="Calibri"/>
        </w:rPr>
        <w:fldChar w:fldCharType="separate"/>
      </w:r>
      <w:r>
        <w:rPr>
          <w:rStyle w:val="LinkdaInternet"/>
          <w:rFonts w:cs="Arial" w:ascii="Calibri" w:hAnsi="Calibri"/>
          <w:color w:val="auto"/>
          <w:sz w:val="24"/>
          <w:szCs w:val="24"/>
          <w:u w:val="none"/>
        </w:rPr>
        <w:t>o art. 93 da Lei nº 8.213/91</w:t>
      </w:r>
      <w:r>
        <w:rPr>
          <w:rStyle w:val="LinkdaInternet"/>
          <w:sz w:val="24"/>
          <w:u w:val="none"/>
          <w:szCs w:val="24"/>
          <w:rFonts w:cs="Arial" w:ascii="Calibri" w:hAnsi="Calibri"/>
        </w:rPr>
        <w:fldChar w:fldCharType="end"/>
      </w:r>
      <w:r>
        <w:rPr>
          <w:rFonts w:cs="Arial" w:ascii="Calibri" w:hAnsi="Calibri"/>
          <w:sz w:val="24"/>
          <w:szCs w:val="24"/>
        </w:rPr>
        <w:t>.</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pPr>
      <w:r>
        <w:rPr>
          <w:rFonts w:cs="Arial" w:ascii="Calibri" w:hAnsi="Calibri"/>
          <w:sz w:val="24"/>
          <w:szCs w:val="24"/>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 w:val="24"/>
          <w:u w:val="none"/>
          <w:szCs w:val="24"/>
          <w:rFonts w:cs="Arial" w:ascii="Calibri" w:hAnsi="Calibri"/>
        </w:rPr>
        <w:instrText> HYPERLINK "https://normas.leg.br/?urn=urn:lex:br:federal:constituicao:1988-10-05;1988" \l "art7"</w:instrText>
      </w:r>
      <w:r>
        <w:rPr>
          <w:rStyle w:val="LinkdaInternet"/>
          <w:sz w:val="24"/>
          <w:u w:val="none"/>
          <w:szCs w:val="24"/>
          <w:rFonts w:cs="Arial" w:ascii="Calibri" w:hAnsi="Calibri"/>
        </w:rPr>
        <w:fldChar w:fldCharType="separate"/>
      </w:r>
      <w:r>
        <w:rPr>
          <w:rStyle w:val="LinkdaInternet"/>
          <w:rFonts w:cs="Arial" w:ascii="Calibri" w:hAnsi="Calibri"/>
          <w:color w:val="auto"/>
          <w:sz w:val="24"/>
          <w:szCs w:val="24"/>
          <w:u w:val="none"/>
        </w:rPr>
        <w:t>artigo 7°, XXXIII, da Constituição</w:t>
      </w:r>
      <w:r>
        <w:rPr>
          <w:rStyle w:val="LinkdaInternet"/>
          <w:sz w:val="24"/>
          <w:u w:val="none"/>
          <w:szCs w:val="24"/>
          <w:rFonts w:cs="Arial" w:ascii="Calibri" w:hAnsi="Calibri"/>
        </w:rPr>
        <w:fldChar w:fldCharType="end"/>
      </w:r>
      <w:r>
        <w:rPr>
          <w:rFonts w:cs="Arial" w:ascii="Calibri" w:hAnsi="Calibri"/>
          <w:sz w:val="24"/>
          <w:szCs w:val="24"/>
        </w:rPr>
        <w:t>;</w:t>
      </w:r>
    </w:p>
    <w:p>
      <w:pPr>
        <w:pStyle w:val="Normal"/>
        <w:widowControl w:val="false"/>
        <w:numPr>
          <w:ilvl w:val="1"/>
          <w:numId w:val="2"/>
        </w:numPr>
        <w:tabs>
          <w:tab w:val="left" w:pos="570" w:leader="none"/>
        </w:tabs>
        <w:suppressAutoHyphens w:val="true"/>
        <w:bidi w:val="0"/>
        <w:spacing w:lineRule="auto" w:line="276" w:before="120" w:after="120"/>
        <w:ind w:left="0" w:right="0" w:hanging="0"/>
        <w:jc w:val="both"/>
        <w:rPr/>
      </w:pPr>
      <w:r>
        <w:rPr>
          <w:rFonts w:cs="Arial" w:ascii="Calibri" w:hAnsi="Calibri"/>
          <w:sz w:val="24"/>
          <w:szCs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4"/>
          <w:u w:val="none"/>
          <w:szCs w:val="24"/>
          <w:rFonts w:cs="Arial" w:ascii="Calibri" w:hAnsi="Calibri"/>
        </w:rPr>
        <w:instrText> HYPERLINK "https://www.planalto.gov.br/ccivil_03/leis/lcp/lcp123.htm" \l "art3"</w:instrText>
      </w:r>
      <w:r>
        <w:rPr>
          <w:rStyle w:val="LinkdaInternet"/>
          <w:sz w:val="24"/>
          <w:u w:val="none"/>
          <w:szCs w:val="24"/>
          <w:rFonts w:cs="Arial" w:ascii="Calibri" w:hAnsi="Calibri"/>
        </w:rPr>
        <w:fldChar w:fldCharType="separate"/>
      </w:r>
      <w:r>
        <w:rPr>
          <w:rStyle w:val="LinkdaInternet"/>
          <w:rFonts w:cs="Arial" w:ascii="Calibri" w:hAnsi="Calibri"/>
          <w:color w:val="auto"/>
          <w:sz w:val="24"/>
          <w:szCs w:val="24"/>
          <w:u w:val="none"/>
        </w:rPr>
        <w:t>artigo 3° da Lei Complementar nº 123, de 2006</w:t>
      </w:r>
      <w:r>
        <w:rPr>
          <w:rStyle w:val="LinkdaInternet"/>
          <w:sz w:val="24"/>
          <w:u w:val="none"/>
          <w:szCs w:val="24"/>
          <w:rFonts w:cs="Arial" w:ascii="Calibri" w:hAnsi="Calibri"/>
        </w:rPr>
        <w:fldChar w:fldCharType="end"/>
      </w:r>
      <w:r>
        <w:rPr>
          <w:rFonts w:cs="Arial" w:ascii="Calibri" w:hAnsi="Calibri"/>
          <w:sz w:val="24"/>
          <w:szCs w:val="24"/>
        </w:rPr>
        <w:t xml:space="preserve">, estando apto a usufruir do tratamento favorecido estabelecido em seus arts. 42 a 49, observado o disposto nos </w:t>
      </w:r>
      <w:r>
        <w:fldChar w:fldCharType="begin"/>
      </w:r>
      <w:r>
        <w:rPr>
          <w:rStyle w:val="LinkdaInternet"/>
          <w:sz w:val="24"/>
          <w:u w:val="none"/>
          <w:szCs w:val="24"/>
          <w:rFonts w:cs="Arial" w:ascii="Calibri" w:hAnsi="Calibri"/>
        </w:rPr>
        <w:instrText> HYPERLINK "http://www.planalto.gov.br/ccivil_03/_ato2019-2022/2021/lei/L14133.htm" \l "art4§1"</w:instrText>
      </w:r>
      <w:r>
        <w:rPr>
          <w:rStyle w:val="LinkdaInternet"/>
          <w:sz w:val="24"/>
          <w:u w:val="none"/>
          <w:szCs w:val="24"/>
          <w:rFonts w:cs="Arial" w:ascii="Calibri" w:hAnsi="Calibri"/>
        </w:rPr>
        <w:fldChar w:fldCharType="separate"/>
      </w:r>
      <w:r>
        <w:rPr>
          <w:rStyle w:val="LinkdaInternet"/>
          <w:rFonts w:cs="Arial" w:ascii="Calibri" w:hAnsi="Calibri"/>
          <w:color w:val="auto"/>
          <w:sz w:val="24"/>
          <w:szCs w:val="24"/>
          <w:u w:val="none"/>
        </w:rPr>
        <w:t>§§ 1º ao 3º do art. 4º, da Lei n.º 14.133, de 2021.</w:t>
      </w:r>
      <w:r>
        <w:rPr>
          <w:rStyle w:val="LinkdaInternet"/>
          <w:sz w:val="24"/>
          <w:u w:val="none"/>
          <w:szCs w:val="24"/>
          <w:rFonts w:cs="Arial" w:ascii="Calibri" w:hAnsi="Calibri"/>
        </w:rPr>
        <w:fldChar w:fldCharType="end"/>
      </w:r>
    </w:p>
    <w:p>
      <w:pPr>
        <w:pStyle w:val="Normal"/>
        <w:widowControl/>
        <w:numPr>
          <w:ilvl w:val="0"/>
          <w:numId w:val="0"/>
        </w:numPr>
        <w:tabs>
          <w:tab w:val="left" w:pos="570" w:leader="none"/>
        </w:tabs>
        <w:suppressAutoHyphens w:val="true"/>
        <w:bidi w:val="0"/>
        <w:spacing w:lineRule="auto" w:line="276" w:before="120" w:after="120"/>
        <w:ind w:left="858" w:right="0" w:hanging="0"/>
        <w:jc w:val="both"/>
        <w:rPr>
          <w:rStyle w:val="LinkdaInternet"/>
          <w:rFonts w:ascii="Calibri" w:hAnsi="Calibri" w:cs="Arial"/>
          <w:color w:val="auto"/>
          <w:sz w:val="24"/>
          <w:szCs w:val="24"/>
          <w:u w:val="none"/>
        </w:rPr>
      </w:pPr>
      <w:r>
        <w:rPr/>
      </w:r>
    </w:p>
    <w:p>
      <w:pPr>
        <w:pStyle w:val="Ttulo1"/>
        <w:numPr>
          <w:ilvl w:val="0"/>
          <w:numId w:val="2"/>
        </w:numPr>
        <w:rPr>
          <w:rFonts w:ascii="Calibri" w:hAnsi="Calibri"/>
          <w:sz w:val="24"/>
          <w:szCs w:val="24"/>
        </w:rPr>
      </w:pPr>
      <w:bookmarkStart w:id="6" w:name="_Toc118380902"/>
      <w:r>
        <w:rPr>
          <w:rFonts w:ascii="Calibri" w:hAnsi="Calibri"/>
          <w:sz w:val="24"/>
          <w:szCs w:val="24"/>
        </w:rPr>
        <w:t>FASE DE LANCES</w:t>
      </w:r>
      <w:bookmarkEnd w:id="6"/>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 xml:space="preserve">A partir da data e horário estabelecidos neste Aviso de Contratação Direta, a sessão pública será automaticamente aberta pelo sistema para o envio de lances públicos e sucessivos, </w:t>
      </w:r>
      <w:r>
        <w:rPr>
          <w:rFonts w:cs="Arial" w:ascii="Calibri" w:hAnsi="Calibri"/>
          <w:bCs/>
          <w:sz w:val="24"/>
          <w:szCs w:val="24"/>
          <w:lang w:eastAsia="en-US"/>
        </w:rPr>
        <w:t>exclusivamente por meio do sistema eletrônico</w:t>
      </w:r>
      <w:r>
        <w:rPr>
          <w:rFonts w:cs="Arial" w:ascii="Calibri" w:hAnsi="Calibri"/>
          <w:sz w:val="24"/>
          <w:szCs w:val="24"/>
          <w:lang w:eastAsia="en-US"/>
        </w:rPr>
        <w:t xml:space="preserve">, </w:t>
      </w:r>
      <w:r>
        <w:rPr>
          <w:rFonts w:cs="Arial" w:ascii="Calibri" w:hAnsi="Calibri"/>
          <w:color w:val="000000" w:themeColor="text1"/>
          <w:sz w:val="24"/>
          <w:szCs w:val="24"/>
          <w:lang w:eastAsia="en-US"/>
        </w:rPr>
        <w:t>sendo encerrado no horário de finalização de lances também já previsto neste aviso.</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rPr>
        <w:t xml:space="preserve">Iniciada a etapa competitiva, os fornecedores deverão encaminhar lances exclusivamente por meio de sistema eletrônico, sendo imediatamente informados do seu recebimento e do valor consignado no registro. </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 xml:space="preserve">O lance </w:t>
      </w:r>
      <w:r>
        <w:rPr>
          <w:rFonts w:cs="Arial" w:ascii="Calibri" w:hAnsi="Calibri"/>
          <w:color w:val="000000" w:themeColor="text1"/>
          <w:sz w:val="24"/>
          <w:szCs w:val="24"/>
          <w:lang w:eastAsia="en-US"/>
        </w:rPr>
        <w:t>deverá</w:t>
      </w:r>
      <w:r>
        <w:rPr>
          <w:rFonts w:cs="Arial" w:ascii="Calibri" w:hAnsi="Calibri"/>
          <w:sz w:val="24"/>
          <w:szCs w:val="24"/>
        </w:rPr>
        <w:t xml:space="preserve"> ser ofertado pelo valor unitário do item.</w:t>
      </w:r>
    </w:p>
    <w:p>
      <w:pPr>
        <w:pStyle w:val="Quote"/>
        <w:widowControl/>
        <w:numPr>
          <w:ilvl w:val="1"/>
          <w:numId w:val="2"/>
        </w:numPr>
        <w:shd w:val="clear" w:color="auto" w:fill="FFFFFF" w:themeFill="background1"/>
        <w:suppressAutoHyphens w:val="true"/>
        <w:bidi w:val="0"/>
        <w:spacing w:lineRule="auto" w:line="276" w:before="0" w:after="120"/>
        <w:ind w:left="0" w:right="0" w:hanging="0"/>
        <w:contextualSpacing/>
        <w:jc w:val="both"/>
        <w:rPr>
          <w:rFonts w:ascii="Calibri" w:hAnsi="Calibri"/>
          <w:sz w:val="24"/>
          <w:szCs w:val="24"/>
        </w:rPr>
      </w:pPr>
      <w:r>
        <w:rPr>
          <w:rFonts w:cs="Arial" w:ascii="Calibri" w:hAnsi="Calibri"/>
          <w:i w:val="false"/>
          <w:iCs w:val="false"/>
          <w:color w:val="000000" w:themeColor="text1"/>
          <w:sz w:val="24"/>
          <w:szCs w:val="24"/>
        </w:rPr>
        <w:t>O fornecedor somente poderá oferecer valor inferior ou maior percentual de desconto em relação ao último lance por ele ofertado e registrado pelo sistema.</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O intervalo mínimo de diferença de valores ou percentuais entre os lances, que incidirá tanto em relação aos lances intermediários quanto em relação ao que cobrir a melhor oferta é de 0,01 (um centavo).</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Havendo lances iguais ao menor já ofertado, prevalecerá aquele que for recebido e registrado primeiro no sistema.</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Caso o fornecedor não apresente lances, concorrerá com o valor de sua proposta.</w:t>
      </w:r>
    </w:p>
    <w:p>
      <w:pPr>
        <w:pStyle w:val="ListParagraph"/>
        <w:widowControl/>
        <w:numPr>
          <w:ilvl w:val="1"/>
          <w:numId w:val="2"/>
        </w:numPr>
        <w:tabs>
          <w:tab w:val="left" w:pos="900" w:leader="none"/>
        </w:tabs>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Durante o procedimento, os fornecedores serão informados, em tempo real, do valor do menor lance ou do maior desconto registrado, vedada a identificação do fornecedor.</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Imediatamente após o término do prazo estabelecido para a fase de lances, haverá o seu encerramento, com o ordenamento e divulgação dos lances, pelo sistema, em ordem crescente de classificação.</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lang w:eastAsia="en-US"/>
        </w:rPr>
        <w:t>O encerramento da fase de lances ocorrerá de forma automática pontualmente no horário indicado, sem qualquer possibilidade de prorrogação e não havendo tempo aleatório ou mecanismo similar.</w:t>
      </w:r>
    </w:p>
    <w:p>
      <w:pPr>
        <w:pStyle w:val="ListParagraph"/>
        <w:widowControl w:val="false"/>
        <w:numPr>
          <w:ilvl w:val="0"/>
          <w:numId w:val="0"/>
        </w:numPr>
        <w:shd w:val="clear" w:color="auto" w:fill="auto"/>
        <w:suppressAutoHyphens w:val="true"/>
        <w:bidi w:val="0"/>
        <w:spacing w:lineRule="auto" w:line="276" w:before="120" w:after="120"/>
        <w:ind w:left="1224" w:right="0" w:hanging="0"/>
        <w:jc w:val="both"/>
        <w:textAlignment w:val="baseline"/>
        <w:rPr>
          <w:rFonts w:cs="Arial"/>
          <w:color w:val="000000" w:themeColor="text1"/>
          <w:lang w:eastAsia="en-US"/>
        </w:rPr>
      </w:pPr>
      <w:r>
        <w:rPr>
          <w:rFonts w:ascii="Calibri" w:hAnsi="Calibri"/>
          <w:sz w:val="24"/>
          <w:szCs w:val="24"/>
        </w:rPr>
      </w:r>
    </w:p>
    <w:p>
      <w:pPr>
        <w:pStyle w:val="Ttulo1"/>
        <w:numPr>
          <w:ilvl w:val="0"/>
          <w:numId w:val="2"/>
        </w:numPr>
        <w:rPr>
          <w:rFonts w:ascii="Calibri" w:hAnsi="Calibri"/>
          <w:sz w:val="24"/>
          <w:szCs w:val="24"/>
        </w:rPr>
      </w:pPr>
      <w:bookmarkStart w:id="7" w:name="_Toc118380903"/>
      <w:r>
        <w:rPr>
          <w:rFonts w:ascii="Calibri" w:hAnsi="Calibri"/>
          <w:sz w:val="24"/>
          <w:szCs w:val="24"/>
        </w:rPr>
        <w:t>JULGAMENTO DAS PROPOSTAS DE PREÇO</w:t>
      </w:r>
      <w:bookmarkEnd w:id="7"/>
    </w:p>
    <w:p>
      <w:pPr>
        <w:pStyle w:val="ListParagraph"/>
        <w:widowControl w:val="false"/>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sz w:val="24"/>
          <w:szCs w:val="24"/>
        </w:rPr>
        <w:t>Encerrada a fase de lances, será verificada a conformidade da proposta classificada em primeiro lugar quanto à adequação do objeto e à compatibilidade do preço em relação ao estipulado para a contratação.</w:t>
      </w:r>
    </w:p>
    <w:p>
      <w:pPr>
        <w:pStyle w:val="ListParagraph"/>
        <w:widowControl w:val="false"/>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sz w:val="24"/>
          <w:szCs w:val="24"/>
        </w:rPr>
        <w:t>No caso de o preço da proposta do primeiro colocado estar acima do preço máximo definido para a contratação, poderá haver a negociação de condições mais vantajosas.</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Neste caso, será encaminhada contraproposta ao fornecedor que tenha apresentado o melhor preço, para que seja obtida a melhor proposta com preço compatível ao estipulado pela Administração.</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 xml:space="preserve">A negociação poderá ser feita com os demais fornecedores classificados, </w:t>
      </w:r>
      <w:r>
        <w:rPr>
          <w:rFonts w:ascii="Calibri" w:hAnsi="Calibri"/>
          <w:sz w:val="24"/>
          <w:szCs w:val="24"/>
          <w:shd w:fill="FFFFFF" w:val="clear"/>
        </w:rPr>
        <w:t>exclusivamente por meio do sistema,</w:t>
      </w:r>
      <w:r>
        <w:rPr>
          <w:rFonts w:cs="Arial" w:ascii="Calibri" w:hAnsi="Calibri"/>
          <w:sz w:val="24"/>
          <w:szCs w:val="24"/>
        </w:rPr>
        <w:t xml:space="preserve"> respeitada a ordem de classificação, quando o primeiro colocado, mesmo após a negociação, for desclassificado em razão de sua proposta permanecer acima do preço máximo definido para a contratação.</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sz w:val="24"/>
          <w:szCs w:val="24"/>
        </w:rPr>
        <w:t xml:space="preserve">Em qualquer caso, concluída a negociação, se houver, o resultado será registrado na ata do procedimento da dispensa eletrônica, </w:t>
      </w:r>
      <w:r>
        <w:rPr>
          <w:rFonts w:ascii="Calibri" w:hAnsi="Calibri"/>
          <w:sz w:val="24"/>
          <w:szCs w:val="24"/>
          <w:shd w:fill="FFFFFF" w:val="clear"/>
        </w:rPr>
        <w:t>devendo esta ser anexada aos autos do processo de contratação.</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ascii="Calibri" w:hAnsi="Calibri"/>
          <w:iCs/>
          <w:sz w:val="24"/>
          <w:szCs w:val="24"/>
        </w:rPr>
        <w:t xml:space="preserve">Constatada a compatibilidade entre o valor da proposta e o estipulado para a contratação, será solicitada ao fornecedora adequação da proposta ao valor negociado, acompanhada de documentos complementares, se necessários. </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Além da documentação supracitada, o fornecedor com a melhor proposta deverá encaminhar planilha com indicação de custos unitários e formação de preços, conforme modelo anexo, com os valores adequados à proposta vencedora.</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themeColor="text1"/>
          <w:sz w:val="24"/>
          <w:szCs w:val="24"/>
        </w:rPr>
        <w:t xml:space="preserve">O prazo de validade </w:t>
      </w:r>
      <w:r>
        <w:rPr>
          <w:rFonts w:cs="Arial" w:ascii="Calibri" w:hAnsi="Calibri"/>
          <w:sz w:val="24"/>
          <w:szCs w:val="24"/>
        </w:rPr>
        <w:t>da</w:t>
      </w:r>
      <w:r>
        <w:rPr>
          <w:rFonts w:cs="Arial" w:ascii="Calibri" w:hAnsi="Calibri"/>
          <w:color w:val="000000" w:themeColor="text1"/>
          <w:sz w:val="24"/>
          <w:szCs w:val="24"/>
        </w:rPr>
        <w:t xml:space="preserve"> proposta não será inferior a </w:t>
      </w:r>
      <w:r>
        <w:rPr>
          <w:rFonts w:cs="Arial" w:ascii="Calibri" w:hAnsi="Calibri"/>
          <w:sz w:val="24"/>
          <w:szCs w:val="24"/>
        </w:rPr>
        <w:t xml:space="preserve">60 (sessenta) </w:t>
      </w:r>
      <w:r>
        <w:rPr>
          <w:rFonts w:cs="Arial" w:ascii="Calibri" w:hAnsi="Calibri"/>
          <w:color w:val="000000" w:themeColor="text1"/>
          <w:sz w:val="24"/>
          <w:szCs w:val="24"/>
        </w:rPr>
        <w:t>dias</w:t>
      </w:r>
      <w:r>
        <w:rPr>
          <w:rFonts w:cs="Arial" w:ascii="Calibri" w:hAnsi="Calibri"/>
          <w:b/>
          <w:bCs/>
          <w:color w:val="000000" w:themeColor="text1"/>
          <w:sz w:val="24"/>
          <w:szCs w:val="24"/>
        </w:rPr>
        <w:t>,</w:t>
      </w:r>
      <w:r>
        <w:rPr>
          <w:rFonts w:cs="Arial" w:ascii="Calibri" w:hAnsi="Calibri"/>
          <w:color w:val="000000" w:themeColor="text1"/>
          <w:sz w:val="24"/>
          <w:szCs w:val="24"/>
        </w:rPr>
        <w:t xml:space="preserve"> a contar da data de sua apresentação.</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 xml:space="preserve">Será desclassificada a proposta vencedora que: </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contiver vícios insanáveis</w:t>
      </w:r>
      <w:r>
        <w:rPr>
          <w:rFonts w:cs="Arial" w:ascii="Calibri" w:hAnsi="Calibri"/>
          <w:iCs/>
          <w:color w:val="000000" w:themeColor="text1"/>
          <w:sz w:val="24"/>
          <w:szCs w:val="24"/>
        </w:rPr>
        <w:t>;</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não obedecer às especificações técnicas pormenorizadas neste aviso ou em seus anexos</w:t>
      </w:r>
      <w:r>
        <w:rPr>
          <w:rFonts w:cs="Arial" w:ascii="Calibri" w:hAnsi="Calibri"/>
          <w:iCs/>
          <w:color w:val="000000" w:themeColor="text1"/>
          <w:sz w:val="24"/>
          <w:szCs w:val="24"/>
        </w:rPr>
        <w:t>;</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apresentar preços inexequíveis ou permanecerem acima do preço máximo definido para a contratação;</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não tiver sua exequibilidade demonstrada, quando exigido pela Administração</w:t>
      </w:r>
      <w:r>
        <w:rPr>
          <w:rFonts w:cs="Arial" w:ascii="Calibri" w:hAnsi="Calibri"/>
          <w:iCs/>
          <w:color w:val="000000" w:themeColor="text1"/>
          <w:sz w:val="24"/>
          <w:szCs w:val="24"/>
        </w:rPr>
        <w:t>;</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apresentar desconformidade com quaisquer outras exigências deste aviso ou seus anexos, desde que insanável.</w:t>
      </w:r>
    </w:p>
    <w:p>
      <w:pPr>
        <w:pStyle w:val="ListParagraph"/>
        <w:widowControl/>
        <w:numPr>
          <w:ilvl w:val="1"/>
          <w:numId w:val="2"/>
        </w:numPr>
        <w:tabs>
          <w:tab w:val="left" w:pos="573" w:leader="none"/>
        </w:tabs>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Quando</w:t>
      </w:r>
      <w:r>
        <w:rPr>
          <w:rFonts w:cs="Arial" w:ascii="Calibri" w:hAnsi="Calibri"/>
          <w:sz w:val="24"/>
          <w:szCs w:val="24"/>
        </w:rPr>
        <w:t xml:space="preserve"> o fornecedor não conseguir comprovar que possui ou possuirá recursos suficientes para executar a contento o objeto, será considerada inexequível a proposta de preços ou menor lance que:</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iCs/>
          <w:sz w:val="24"/>
          <w:szCs w:val="24"/>
          <w:lang w:eastAsia="en-US"/>
        </w:rPr>
        <w:t>Em contratação de obras ou serviços de engenharia, além das disposições acima, o critério de aceitabilidade de preços considerará o seguinte:</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iCs/>
          <w:sz w:val="24"/>
          <w:szCs w:val="24"/>
          <w:lang w:eastAsia="en-US"/>
        </w:rPr>
        <w:t>Ressalvado o objeto ou parte dele sujeito ao regime de empreitada por preço unitário, o critério de aceitabilidade de preços será o valor global estimado para a contratação.</w:t>
      </w:r>
    </w:p>
    <w:p>
      <w:pPr>
        <w:pStyle w:val="ListParagraph"/>
        <w:widowControl/>
        <w:numPr>
          <w:ilvl w:val="0"/>
          <w:numId w:val="0"/>
        </w:numPr>
        <w:suppressAutoHyphens w:val="true"/>
        <w:bidi w:val="0"/>
        <w:spacing w:lineRule="auto" w:line="276" w:before="120" w:after="120"/>
        <w:ind w:left="2862" w:right="0" w:hanging="0"/>
        <w:contextualSpacing/>
        <w:jc w:val="both"/>
        <w:rPr/>
      </w:pPr>
      <w:r>
        <w:rPr>
          <w:rFonts w:cs="Arial" w:ascii="Calibri" w:hAnsi="Calibri"/>
          <w:b/>
          <w:bCs/>
          <w:iCs/>
          <w:sz w:val="24"/>
          <w:szCs w:val="24"/>
          <w:lang w:eastAsia="en-US"/>
        </w:rPr>
        <w:t>5.8.1.1.</w:t>
      </w:r>
      <w:r>
        <w:rPr>
          <w:rFonts w:cs="Arial" w:ascii="Calibri" w:hAnsi="Calibri"/>
          <w:iCs/>
          <w:sz w:val="24"/>
          <w:szCs w:val="24"/>
          <w:lang w:eastAsia="en-US"/>
        </w:rPr>
        <w:tab/>
      </w:r>
      <w:r>
        <w:rPr>
          <w:rFonts w:cs="Arial" w:ascii="Calibri" w:hAnsi="Calibri"/>
          <w:iCs/>
          <w:sz w:val="24"/>
          <w:szCs w:val="24"/>
          <w:lang w:eastAsia="en-US"/>
        </w:rPr>
        <w:t>Aquele que estiver mais bem colocado na disputa, deverá apresentar à Administração, por meio eletrônico, planilha que contenha o preço global, os quantitativos e os preços unitários tidos como relevantes,</w:t>
      </w:r>
    </w:p>
    <w:p>
      <w:pPr>
        <w:pStyle w:val="ListParagraph"/>
        <w:widowControl/>
        <w:numPr>
          <w:ilvl w:val="0"/>
          <w:numId w:val="0"/>
        </w:numPr>
        <w:suppressAutoHyphens w:val="true"/>
        <w:bidi w:val="0"/>
        <w:spacing w:lineRule="auto" w:line="276" w:before="120" w:after="120"/>
        <w:ind w:left="2862" w:right="0" w:hanging="0"/>
        <w:contextualSpacing/>
        <w:jc w:val="both"/>
        <w:rPr/>
      </w:pPr>
      <w:r>
        <w:rPr>
          <w:rFonts w:cs="Arial" w:ascii="Calibri" w:hAnsi="Calibri"/>
          <w:b/>
          <w:bCs/>
          <w:iCs/>
          <w:sz w:val="24"/>
          <w:szCs w:val="24"/>
          <w:lang w:eastAsia="en-US"/>
        </w:rPr>
        <w:t>5.8.1.2.</w:t>
      </w:r>
      <w:r>
        <w:rPr>
          <w:rFonts w:cs="Arial" w:ascii="Calibri" w:hAnsi="Calibri"/>
          <w:iCs/>
          <w:sz w:val="24"/>
          <w:szCs w:val="24"/>
          <w:lang w:eastAsia="en-US"/>
        </w:rPr>
        <w:tab/>
      </w:r>
      <w:r>
        <w:rPr>
          <w:rFonts w:cs="Arial" w:ascii="Calibri" w:hAnsi="Calibri"/>
          <w:iCs/>
          <w:sz w:val="24"/>
          <w:szCs w:val="24"/>
          <w:lang w:eastAsia="en-US"/>
        </w:rPr>
        <w:t>Conforme modelo de planilha elaborada pela Administração, para efeito de avaliação de exequibilidade (</w:t>
      </w:r>
      <w:r>
        <w:fldChar w:fldCharType="begin"/>
      </w:r>
      <w:r>
        <w:rPr>
          <w:rStyle w:val="LinkdaInternet"/>
          <w:sz w:val="24"/>
          <w:u w:val="none"/>
          <w:szCs w:val="24"/>
          <w:iCs/>
          <w:rFonts w:cs="Arial" w:ascii="Calibri" w:hAnsi="Calibri"/>
        </w:rPr>
        <w:instrText> HYPERLINK "http://www.planalto.gov.br/ccivil_03/_ato2019-2022/2021/lei/L14133.htm" \l "art59§3"</w:instrText>
      </w:r>
      <w:r>
        <w:rPr>
          <w:rStyle w:val="LinkdaInternet"/>
          <w:sz w:val="24"/>
          <w:u w:val="none"/>
          <w:szCs w:val="24"/>
          <w:iCs/>
          <w:rFonts w:cs="Arial" w:ascii="Calibri" w:hAnsi="Calibri"/>
        </w:rPr>
        <w:fldChar w:fldCharType="separate"/>
      </w:r>
      <w:r>
        <w:rPr>
          <w:rStyle w:val="LinkdaInternet"/>
          <w:rFonts w:cs="Arial" w:ascii="Calibri" w:hAnsi="Calibri"/>
          <w:iCs/>
          <w:color w:val="auto"/>
          <w:sz w:val="24"/>
          <w:szCs w:val="24"/>
          <w:u w:val="none"/>
          <w:lang w:eastAsia="en-US"/>
        </w:rPr>
        <w:t>art. 59, §3º, da Lei nº 14.133, de 2021</w:t>
      </w:r>
      <w:r>
        <w:rPr>
          <w:rStyle w:val="LinkdaInternet"/>
          <w:sz w:val="24"/>
          <w:u w:val="none"/>
          <w:szCs w:val="24"/>
          <w:iCs/>
          <w:rFonts w:cs="Arial" w:ascii="Calibri" w:hAnsi="Calibri"/>
        </w:rPr>
        <w:fldChar w:fldCharType="end"/>
      </w:r>
      <w:r>
        <w:rPr>
          <w:rFonts w:cs="Arial" w:ascii="Calibri" w:hAnsi="Calibri"/>
          <w:iCs/>
          <w:sz w:val="24"/>
          <w:szCs w:val="24"/>
          <w:lang w:eastAsia="en-US"/>
        </w:rPr>
        <w:t>);</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iCs/>
          <w:sz w:val="24"/>
          <w:szCs w:val="24"/>
          <w:lang w:eastAsia="en-US"/>
        </w:rPr>
        <w:t>Para o objeto ou parte dele sujeito ao regime de empreitada por preço unitário o critério de aceitabilidade de preços será:</w:t>
      </w:r>
    </w:p>
    <w:p>
      <w:pPr>
        <w:pStyle w:val="ListParagraph"/>
        <w:widowControl/>
        <w:numPr>
          <w:ilvl w:val="0"/>
          <w:numId w:val="0"/>
        </w:numPr>
        <w:suppressAutoHyphens w:val="true"/>
        <w:bidi w:val="0"/>
        <w:spacing w:lineRule="auto" w:line="276" w:before="120" w:after="120"/>
        <w:ind w:left="2862" w:right="0" w:hanging="0"/>
        <w:contextualSpacing/>
        <w:jc w:val="both"/>
        <w:rPr>
          <w:rFonts w:ascii="Calibri" w:hAnsi="Calibri"/>
          <w:sz w:val="24"/>
          <w:szCs w:val="24"/>
        </w:rPr>
      </w:pPr>
      <w:r>
        <w:rPr>
          <w:rFonts w:cs="Arial" w:ascii="Calibri" w:hAnsi="Calibri"/>
          <w:b/>
          <w:bCs/>
          <w:iCs/>
          <w:sz w:val="24"/>
          <w:szCs w:val="24"/>
          <w:lang w:eastAsia="en-US"/>
        </w:rPr>
        <w:t>5.8.2.1.</w:t>
      </w:r>
      <w:r>
        <w:rPr>
          <w:rFonts w:cs="Arial" w:ascii="Calibri" w:hAnsi="Calibri"/>
          <w:iCs/>
          <w:sz w:val="24"/>
          <w:szCs w:val="24"/>
          <w:lang w:eastAsia="en-US"/>
        </w:rPr>
        <w:tab/>
      </w:r>
      <w:r>
        <w:rPr>
          <w:rFonts w:cs="Arial" w:ascii="Calibri" w:hAnsi="Calibri"/>
          <w:iCs/>
          <w:sz w:val="24"/>
          <w:szCs w:val="24"/>
          <w:lang w:eastAsia="en-US"/>
        </w:rPr>
        <w:t>O valor global estimado para a contratação.</w:t>
      </w:r>
    </w:p>
    <w:p>
      <w:pPr>
        <w:pStyle w:val="ListParagraph"/>
        <w:widowControl/>
        <w:numPr>
          <w:ilvl w:val="0"/>
          <w:numId w:val="0"/>
        </w:numPr>
        <w:suppressAutoHyphens w:val="true"/>
        <w:bidi w:val="0"/>
        <w:spacing w:lineRule="auto" w:line="276" w:before="120" w:after="120"/>
        <w:ind w:left="2862" w:right="0" w:hanging="0"/>
        <w:contextualSpacing/>
        <w:jc w:val="both"/>
        <w:rPr>
          <w:rFonts w:ascii="Calibri" w:hAnsi="Calibri"/>
          <w:sz w:val="24"/>
          <w:szCs w:val="24"/>
        </w:rPr>
      </w:pPr>
      <w:r>
        <w:rPr>
          <w:rFonts w:cs="Arial" w:ascii="Calibri" w:hAnsi="Calibri"/>
          <w:b/>
          <w:bCs/>
          <w:iCs/>
          <w:sz w:val="24"/>
          <w:szCs w:val="24"/>
          <w:lang w:eastAsia="en-US"/>
        </w:rPr>
        <w:t>5.8.2.2.</w:t>
      </w:r>
      <w:r>
        <w:rPr>
          <w:rFonts w:cs="Arial" w:ascii="Calibri" w:hAnsi="Calibri"/>
          <w:iCs/>
          <w:sz w:val="24"/>
          <w:szCs w:val="24"/>
          <w:lang w:eastAsia="en-US"/>
        </w:rPr>
        <w:tab/>
      </w:r>
      <w:r>
        <w:rPr>
          <w:rFonts w:cs="Arial" w:ascii="Calibri" w:hAnsi="Calibri"/>
          <w:iCs/>
          <w:sz w:val="24"/>
          <w:szCs w:val="24"/>
          <w:lang w:eastAsia="en-US"/>
        </w:rPr>
        <w:t>Preços unitários: conforme Planilha de Custos elaborada pelo Contratante, anexa a este documento.</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ascii="Calibri" w:hAnsi="Calibri"/>
          <w:iCs/>
          <w:sz w:val="24"/>
          <w:szCs w:val="24"/>
        </w:rPr>
        <w:t>serão consideradas inexequíveis as propostas cujos valores forem inferiores a 75% (setenta e cinco por cento) do valor orçado pela Administração.</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 xml:space="preserve">Se houver indícios de inexequibilidade da proposta de preço, ou em caso da necessidade de esclarecimentos </w:t>
      </w:r>
      <w:r>
        <w:rPr>
          <w:rFonts w:cs="Arial" w:ascii="Calibri" w:hAnsi="Calibri"/>
          <w:sz w:val="24"/>
          <w:szCs w:val="24"/>
        </w:rPr>
        <w:t>complementares</w:t>
      </w:r>
      <w:r>
        <w:rPr>
          <w:rFonts w:cs="Arial" w:ascii="Calibri" w:hAnsi="Calibri"/>
          <w:color w:val="000000" w:themeColor="text1"/>
          <w:sz w:val="24"/>
          <w:szCs w:val="24"/>
          <w:lang w:eastAsia="en-US"/>
        </w:rPr>
        <w:t xml:space="preserve">, poderão ser efetuadas diligências, para queo fornecedor comprove a exequibilidade da proposta.  </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 xml:space="preserve">Erros no preenchimento da planilha não constituem motivo para a desclassificação da proposta. A planilha </w:t>
      </w:r>
      <w:r>
        <w:rPr>
          <w:rFonts w:cs="Arial" w:ascii="Calibri" w:hAnsi="Calibri"/>
          <w:sz w:val="24"/>
          <w:szCs w:val="24"/>
        </w:rPr>
        <w:t>poderá</w:t>
      </w:r>
      <w:r>
        <w:rPr>
          <w:rFonts w:cs="Arial" w:ascii="Calibri" w:hAnsi="Calibri"/>
          <w:color w:val="000000" w:themeColor="text1"/>
          <w:sz w:val="24"/>
          <w:szCs w:val="24"/>
          <w:lang w:eastAsia="en-US"/>
        </w:rPr>
        <w:t xml:space="preserve"> ser ajustada pelo fornecedor, no prazo indicado pelo sistema, desde que não haja majoração do preço.</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lang w:eastAsia="en-US"/>
        </w:rPr>
        <w:t>O ajuste de que trata este dispositivo se limita a sanar erros ou falhas que não alterem a substância das propostas;</w:t>
      </w:r>
    </w:p>
    <w:p>
      <w:pPr>
        <w:pStyle w:val="ListParagraph"/>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lang w:eastAsia="en-US"/>
        </w:rPr>
        <w:t>Considera-se erro no preenchimento da planilha passível de correção a indicação de recolhimento de impostos e contribuições na forma do Simples Nacional, quando não cabível esse regime.</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widowControl w:val="false"/>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Se a proposta ou lance vencedor for desclassificado, será examinada a proposta ou lance subsequente, e, assim sucessivamente, na ordem de classificação.</w:t>
      </w:r>
    </w:p>
    <w:p>
      <w:pPr>
        <w:pStyle w:val="ListParagraph"/>
        <w:widowControl w:val="false"/>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Havendo necessidade, a sessão será suspensa, informando-se no “chat” a nova data e horário para a sua continuidade.</w:t>
      </w:r>
    </w:p>
    <w:p>
      <w:pPr>
        <w:pStyle w:val="ListParagraph"/>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lang w:eastAsia="en-US"/>
        </w:rPr>
        <w:t>Encerrada a análise quanto à aceitação da proposta, será iniciada a fase de habilitação, observado o disposto neste Aviso de Contratação Direta.</w:t>
      </w:r>
    </w:p>
    <w:p>
      <w:pPr>
        <w:pStyle w:val="ListParagraph"/>
        <w:widowControl/>
        <w:numPr>
          <w:ilvl w:val="0"/>
          <w:numId w:val="0"/>
        </w:numPr>
        <w:suppressAutoHyphens w:val="true"/>
        <w:bidi w:val="0"/>
        <w:spacing w:lineRule="auto" w:line="276" w:before="120" w:after="120"/>
        <w:ind w:left="858" w:right="0" w:hanging="0"/>
        <w:contextualSpacing/>
        <w:jc w:val="both"/>
        <w:rPr>
          <w:rFonts w:cs="Arial"/>
          <w:color w:val="000000" w:themeColor="text1"/>
          <w:lang w:eastAsia="en-US"/>
        </w:rPr>
      </w:pPr>
      <w:r>
        <w:rPr>
          <w:rFonts w:ascii="Calibri" w:hAnsi="Calibri"/>
          <w:sz w:val="24"/>
          <w:szCs w:val="24"/>
        </w:rPr>
      </w:r>
    </w:p>
    <w:p>
      <w:pPr>
        <w:pStyle w:val="Ttulo1"/>
        <w:widowControl w:val="false"/>
        <w:numPr>
          <w:ilvl w:val="0"/>
          <w:numId w:val="2"/>
        </w:numPr>
        <w:rPr>
          <w:rFonts w:ascii="Calibri" w:hAnsi="Calibri"/>
          <w:sz w:val="24"/>
          <w:szCs w:val="24"/>
        </w:rPr>
      </w:pPr>
      <w:bookmarkStart w:id="8" w:name="_Toc118380904"/>
      <w:r>
        <w:rPr>
          <w:rFonts w:ascii="Calibri" w:hAnsi="Calibri"/>
          <w:sz w:val="24"/>
          <w:szCs w:val="24"/>
        </w:rPr>
        <w:t>HABILITAÇÃO</w:t>
      </w:r>
      <w:bookmarkEnd w:id="8"/>
    </w:p>
    <w:p>
      <w:pPr>
        <w:pStyle w:val="Normal"/>
        <w:widowControl w:val="false"/>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sz w:val="24"/>
          <w:szCs w:val="24"/>
          <w:lang w:eastAsia="ar-SA"/>
        </w:rPr>
        <w:t xml:space="preserve">Os </w:t>
      </w:r>
      <w:r>
        <w:rPr>
          <w:rFonts w:cs="Arial" w:ascii="Calibri" w:hAnsi="Calibri"/>
          <w:color w:val="000000"/>
          <w:sz w:val="24"/>
          <w:szCs w:val="24"/>
        </w:rPr>
        <w:t>documentos</w:t>
      </w:r>
      <w:r>
        <w:rPr>
          <w:rFonts w:cs="Arial" w:ascii="Calibri" w:hAnsi="Calibri"/>
          <w:sz w:val="24"/>
          <w:szCs w:val="24"/>
          <w:lang w:eastAsia="ar-SA"/>
        </w:rPr>
        <w:t xml:space="preserve"> a serem exigidos para fins de habilitação constam do </w:t>
      </w:r>
      <w:r>
        <w:rPr>
          <w:rFonts w:cs="Arial" w:ascii="Calibri" w:hAnsi="Calibri"/>
          <w:b/>
          <w:sz w:val="24"/>
          <w:szCs w:val="24"/>
          <w:lang w:eastAsia="ar-SA"/>
        </w:rPr>
        <w:t xml:space="preserve">ANEXO I – DOCUMENTAÇÃO EXIGIDA PARA HABILITAÇÃO </w:t>
      </w:r>
      <w:r>
        <w:rPr>
          <w:rFonts w:cs="Arial" w:ascii="Calibri" w:hAnsi="Calibri"/>
          <w:sz w:val="24"/>
          <w:szCs w:val="24"/>
          <w:lang w:eastAsia="ar-SA"/>
        </w:rPr>
        <w:t>deste aviso e serão solicitados do fornecedor mais bem classificado na fase de lances.</w:t>
      </w:r>
    </w:p>
    <w:p>
      <w:pPr>
        <w:pStyle w:val="Normal"/>
        <w:widowControl w:val="false"/>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sz w:val="24"/>
          <w:szCs w:val="24"/>
          <w:lang w:eastAsia="ar-SA"/>
        </w:rPr>
        <w:t xml:space="preserve">Como </w:t>
      </w:r>
      <w:r>
        <w:rPr>
          <w:rFonts w:cs="Arial" w:ascii="Calibri" w:hAnsi="Calibri"/>
          <w:color w:val="000000"/>
          <w:sz w:val="24"/>
          <w:szCs w:val="24"/>
        </w:rPr>
        <w:t>condição</w:t>
      </w:r>
      <w:r>
        <w:rPr>
          <w:rFonts w:cs="Arial" w:ascii="Calibri" w:hAnsi="Calibri"/>
          <w:sz w:val="24"/>
          <w:szCs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pPr>
        <w:pStyle w:val="ListParagraph"/>
        <w:widowControl w:val="false"/>
        <w:suppressAutoHyphens w:val="true"/>
        <w:bidi w:val="0"/>
        <w:spacing w:lineRule="auto" w:line="276" w:before="120" w:after="120"/>
        <w:ind w:left="1134" w:right="0" w:hanging="567"/>
        <w:contextualSpacing/>
        <w:jc w:val="both"/>
        <w:rPr/>
      </w:pPr>
      <w:r>
        <w:rPr>
          <w:rFonts w:cs="Arial" w:ascii="Calibri" w:hAnsi="Calibri"/>
          <w:sz w:val="24"/>
          <w:szCs w:val="24"/>
          <w:lang w:eastAsia="ar-SA"/>
        </w:rPr>
        <w:t>a)</w:t>
        <w:tab/>
      </w:r>
      <w:hyperlink r:id="rId9">
        <w:r>
          <w:rPr>
            <w:rStyle w:val="LinkdaInternet"/>
            <w:rFonts w:cs="Arial" w:ascii="Calibri" w:hAnsi="Calibri"/>
            <w:color w:val="auto"/>
            <w:sz w:val="24"/>
            <w:szCs w:val="24"/>
            <w:u w:val="none"/>
            <w:lang w:eastAsia="ar-SA"/>
          </w:rPr>
          <w:t>SICAF</w:t>
        </w:r>
      </w:hyperlink>
      <w:r>
        <w:rPr>
          <w:rFonts w:cs="Arial" w:ascii="Calibri" w:hAnsi="Calibri"/>
          <w:sz w:val="24"/>
          <w:szCs w:val="24"/>
          <w:lang w:eastAsia="ar-SA"/>
        </w:rPr>
        <w:t>;</w:t>
      </w:r>
    </w:p>
    <w:p>
      <w:pPr>
        <w:pStyle w:val="ListParagraph"/>
        <w:widowControl w:val="false"/>
        <w:suppressAutoHyphens w:val="true"/>
        <w:bidi w:val="0"/>
        <w:spacing w:lineRule="auto" w:line="276" w:before="120" w:after="120"/>
        <w:ind w:left="1134" w:right="0" w:hanging="567"/>
        <w:contextualSpacing/>
        <w:jc w:val="both"/>
        <w:rPr/>
      </w:pPr>
      <w:r>
        <w:rPr>
          <w:rFonts w:cs="Arial" w:ascii="Calibri" w:hAnsi="Calibri"/>
          <w:sz w:val="24"/>
          <w:szCs w:val="24"/>
          <w:lang w:eastAsia="ar-SA"/>
        </w:rPr>
        <w:t xml:space="preserve">b) </w:t>
        <w:tab/>
        <w:t>Cadastro Nacional de Empresas Inidôneas e Suspensas - CEIS, mantido pela Controladoria-Geral da União (</w:t>
      </w:r>
      <w:hyperlink r:id="rId10">
        <w:r>
          <w:rPr>
            <w:rStyle w:val="LinkdaInternet"/>
            <w:rFonts w:ascii="Calibri" w:hAnsi="Calibri"/>
            <w:color w:val="auto"/>
            <w:sz w:val="24"/>
            <w:szCs w:val="24"/>
            <w:u w:val="none"/>
          </w:rPr>
          <w:t>https://portaldatransparencia.gov.br/sancoes/consulta?cadastro=1%2C2</w:t>
        </w:r>
      </w:hyperlink>
      <w:r>
        <w:rPr>
          <w:rFonts w:cs="Arial" w:ascii="Calibri" w:hAnsi="Calibri"/>
          <w:sz w:val="24"/>
          <w:szCs w:val="24"/>
          <w:lang w:eastAsia="ar-SA"/>
        </w:rPr>
        <w:t>); e</w:t>
      </w:r>
    </w:p>
    <w:p>
      <w:pPr>
        <w:pStyle w:val="ListParagraph"/>
        <w:widowControl w:val="false"/>
        <w:suppressAutoHyphens w:val="true"/>
        <w:bidi w:val="0"/>
        <w:spacing w:lineRule="auto" w:line="276" w:before="120" w:after="120"/>
        <w:ind w:left="1134" w:right="0" w:hanging="567"/>
        <w:contextualSpacing/>
        <w:jc w:val="both"/>
        <w:rPr/>
      </w:pPr>
      <w:r>
        <w:rPr>
          <w:rFonts w:cs="Arial" w:ascii="Calibri" w:hAnsi="Calibri"/>
          <w:sz w:val="24"/>
          <w:szCs w:val="24"/>
          <w:lang w:eastAsia="ar-SA"/>
        </w:rPr>
        <w:t>c) Cadastro Nacional de Empresas Punidas – CNEP, mantido pela Controladoria-Geral daUnião (</w:t>
      </w:r>
      <w:hyperlink r:id="rId11">
        <w:r>
          <w:rPr>
            <w:rStyle w:val="LinkdaInternet"/>
            <w:rFonts w:ascii="Calibri" w:hAnsi="Calibri"/>
            <w:color w:val="auto"/>
            <w:sz w:val="24"/>
            <w:szCs w:val="24"/>
            <w:u w:val="none"/>
          </w:rPr>
          <w:t>https://portaldatransparencia.gov.br/sancoes/consulta?cadastro=1%2C2</w:t>
        </w:r>
      </w:hyperlink>
      <w:r>
        <w:rPr>
          <w:rFonts w:cs="Arial" w:ascii="Calibri" w:hAnsi="Calibri"/>
          <w:sz w:val="24"/>
          <w:szCs w:val="24"/>
          <w:lang w:eastAsia="ar-SA"/>
        </w:rPr>
        <w:t>).</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pPr>
      <w:r>
        <w:rPr>
          <w:rFonts w:cs="Arial" w:ascii="Calibri" w:hAnsi="Calibri"/>
          <w:color w:val="000000" w:themeColor="text1"/>
          <w:sz w:val="24"/>
          <w:szCs w:val="24"/>
        </w:rPr>
        <w:t xml:space="preserve">A consulta aos </w:t>
      </w:r>
      <w:r>
        <w:rPr>
          <w:rFonts w:cs="Arial" w:ascii="Calibri" w:hAnsi="Calibri"/>
          <w:sz w:val="24"/>
          <w:szCs w:val="24"/>
          <w:lang w:eastAsia="ar-SA"/>
        </w:rPr>
        <w:t>cadastros</w:t>
      </w:r>
      <w:r>
        <w:rPr>
          <w:rFonts w:cs="Arial" w:ascii="Calibri" w:hAnsi="Calibri"/>
          <w:color w:val="000000" w:themeColor="text1"/>
          <w:sz w:val="24"/>
          <w:szCs w:val="24"/>
        </w:rPr>
        <w:t xml:space="preserve"> será realizada em nome da empresa fornecedora e de seu sócio majoritário, por força do </w:t>
      </w:r>
      <w:r>
        <w:fldChar w:fldCharType="begin"/>
      </w:r>
      <w:r>
        <w:rPr>
          <w:rStyle w:val="LinkdaInternet"/>
          <w:sz w:val="24"/>
          <w:u w:val="none"/>
          <w:szCs w:val="24"/>
          <w:rFonts w:cs="Arial" w:ascii="Calibri" w:hAnsi="Calibri"/>
        </w:rPr>
        <w:instrText> HYPERLINK "https://www.planalto.gov.br/ccivil_03/leis/l8429.htm" \l "art12"</w:instrText>
      </w:r>
      <w:r>
        <w:rPr>
          <w:rStyle w:val="LinkdaInternet"/>
          <w:sz w:val="24"/>
          <w:u w:val="none"/>
          <w:szCs w:val="24"/>
          <w:rFonts w:cs="Arial" w:ascii="Calibri" w:hAnsi="Calibri"/>
        </w:rPr>
        <w:fldChar w:fldCharType="separate"/>
      </w:r>
      <w:r>
        <w:rPr>
          <w:rStyle w:val="LinkdaInternet"/>
          <w:rFonts w:cs="Arial" w:ascii="Calibri" w:hAnsi="Calibri"/>
          <w:color w:val="auto"/>
          <w:sz w:val="24"/>
          <w:szCs w:val="24"/>
          <w:u w:val="none"/>
        </w:rPr>
        <w:t>artigo 12 da Lei n° 8.429, de 2 de junho de 1992</w:t>
      </w:r>
      <w:r>
        <w:rPr>
          <w:rStyle w:val="LinkdaInternet"/>
          <w:sz w:val="24"/>
          <w:u w:val="none"/>
          <w:szCs w:val="24"/>
          <w:rFonts w:cs="Arial" w:ascii="Calibri" w:hAnsi="Calibri"/>
        </w:rPr>
        <w:fldChar w:fldCharType="end"/>
      </w:r>
      <w:r>
        <w:rPr>
          <w:rFonts w:cs="Arial" w:ascii="Calibri" w:hAnsi="Calibri"/>
          <w:sz w:val="24"/>
          <w:szCs w:val="24"/>
        </w:rPr>
        <w:t xml:space="preserve">, </w:t>
      </w:r>
      <w:r>
        <w:rPr>
          <w:rFonts w:cs="Arial" w:ascii="Calibri" w:hAnsi="Calibri"/>
          <w:color w:val="000000" w:themeColor="text1"/>
          <w:sz w:val="24"/>
          <w:szCs w:val="24"/>
        </w:rPr>
        <w:t>que prevê, dentre as sanções impostas ao responsável pela prática de ato de improbidade administrativa, a proibição de contratar com o Poder Público, inclusive por intermédio de pessoa jurídica da qual seja sócio majoritário.</w:t>
      </w:r>
    </w:p>
    <w:p>
      <w:pPr>
        <w:pStyle w:val="Normal"/>
        <w:widowControl w:val="false"/>
        <w:numPr>
          <w:ilvl w:val="0"/>
          <w:numId w:val="0"/>
        </w:numPr>
        <w:suppressAutoHyphens w:val="true"/>
        <w:bidi w:val="0"/>
        <w:spacing w:lineRule="auto" w:line="276" w:before="120" w:after="120"/>
        <w:ind w:left="2862" w:right="0" w:hanging="0"/>
        <w:contextualSpacing/>
        <w:jc w:val="both"/>
        <w:rPr>
          <w:rFonts w:ascii="Calibri" w:hAnsi="Calibri"/>
          <w:sz w:val="24"/>
          <w:szCs w:val="24"/>
        </w:rPr>
      </w:pPr>
      <w:r>
        <w:rPr>
          <w:rFonts w:cs="Arial" w:ascii="Calibri" w:hAnsi="Calibri"/>
          <w:b/>
          <w:bCs/>
          <w:color w:val="000000" w:themeColor="text1"/>
          <w:sz w:val="24"/>
          <w:szCs w:val="24"/>
        </w:rPr>
        <w:t>6.2.1.1.</w:t>
        <w:tab/>
      </w:r>
      <w:r>
        <w:rPr>
          <w:rFonts w:cs="Arial" w:ascii="Calibri" w:hAnsi="Calibri"/>
          <w:color w:val="000000" w:themeColor="text1"/>
          <w:sz w:val="24"/>
          <w:szCs w:val="24"/>
        </w:rPr>
        <w:t>Caso conste na Consulta de Situação do Fornecedor a existência de Ocorrências Impeditivas Indiretas, o gestor diligenciará para verificar se houve fraude por parte das empresas apontadas no respectivo Relatório.</w:t>
      </w:r>
    </w:p>
    <w:p>
      <w:pPr>
        <w:pStyle w:val="Normal"/>
        <w:widowControl w:val="false"/>
        <w:numPr>
          <w:ilvl w:val="0"/>
          <w:numId w:val="0"/>
        </w:numPr>
        <w:suppressAutoHyphens w:val="true"/>
        <w:bidi w:val="0"/>
        <w:spacing w:lineRule="auto" w:line="276" w:before="120" w:after="120"/>
        <w:ind w:left="2862" w:right="0" w:hanging="0"/>
        <w:contextualSpacing/>
        <w:jc w:val="both"/>
        <w:rPr>
          <w:rFonts w:ascii="Calibri" w:hAnsi="Calibri"/>
          <w:sz w:val="24"/>
          <w:szCs w:val="24"/>
        </w:rPr>
      </w:pPr>
      <w:r>
        <w:rPr>
          <w:rFonts w:cs="Arial" w:ascii="Calibri" w:hAnsi="Calibri"/>
          <w:b/>
          <w:bCs/>
          <w:color w:val="000000" w:themeColor="text1"/>
          <w:sz w:val="24"/>
          <w:szCs w:val="24"/>
        </w:rPr>
        <w:t>6.2.1.2.</w:t>
        <w:tab/>
      </w:r>
      <w:r>
        <w:rPr>
          <w:rFonts w:cs="Arial" w:ascii="Calibri" w:hAnsi="Calibri"/>
          <w:color w:val="000000" w:themeColor="text1"/>
          <w:sz w:val="24"/>
          <w:szCs w:val="24"/>
        </w:rPr>
        <w:t>A tentativa de burla será verificada por meio dos vínculos societários, linhas de fornecimento similares, dentre outros.</w:t>
      </w:r>
    </w:p>
    <w:p>
      <w:pPr>
        <w:pStyle w:val="Normal"/>
        <w:widowControl w:val="false"/>
        <w:numPr>
          <w:ilvl w:val="0"/>
          <w:numId w:val="0"/>
        </w:numPr>
        <w:suppressAutoHyphens w:val="true"/>
        <w:bidi w:val="0"/>
        <w:spacing w:lineRule="auto" w:line="276" w:before="120" w:after="120"/>
        <w:ind w:left="2862" w:right="0" w:hanging="0"/>
        <w:contextualSpacing/>
        <w:jc w:val="both"/>
        <w:rPr>
          <w:rFonts w:ascii="Calibri" w:hAnsi="Calibri"/>
          <w:sz w:val="24"/>
          <w:szCs w:val="24"/>
        </w:rPr>
      </w:pPr>
      <w:r>
        <w:rPr>
          <w:rFonts w:cs="Arial" w:ascii="Calibri" w:hAnsi="Calibri"/>
          <w:b/>
          <w:bCs/>
          <w:color w:val="000000" w:themeColor="text1"/>
          <w:sz w:val="24"/>
          <w:szCs w:val="24"/>
        </w:rPr>
        <w:t>6.2.1.3.</w:t>
        <w:tab/>
      </w:r>
      <w:r>
        <w:rPr>
          <w:rFonts w:cs="Arial" w:ascii="Calibri" w:hAnsi="Calibri"/>
          <w:color w:val="000000" w:themeColor="text1"/>
          <w:sz w:val="24"/>
          <w:szCs w:val="24"/>
        </w:rPr>
        <w:t>O fornecedor será convocado para manifestação previamente à sua desclassificação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rPr>
        <w:t>Constatada a existência de sanção, o fornecedor será considerado inabilitado, por falta de condição de participação.</w:t>
      </w:r>
    </w:p>
    <w:p>
      <w:pPr>
        <w:pStyle w:val="Normal"/>
        <w:widowControl w:val="false"/>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rPr>
        <w:t xml:space="preserve">Caso atendidas as condições de participação, </w:t>
      </w:r>
      <w:r>
        <w:rPr>
          <w:rFonts w:cs="Arial" w:ascii="Calibri" w:hAnsi="Calibri"/>
          <w:sz w:val="24"/>
          <w:szCs w:val="24"/>
        </w:rPr>
        <w:t>a habilitação dos fornecedores será verificada por meio do SICAF, nos documentos por ele abrangidos</w:t>
      </w:r>
      <w:r>
        <w:rPr>
          <w:rFonts w:cs="Arial" w:ascii="Calibri" w:hAnsi="Calibri"/>
          <w:color w:val="000000" w:themeColor="text1"/>
          <w:sz w:val="24"/>
          <w:szCs w:val="24"/>
        </w:rPr>
        <w:t>.</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rPr>
        <w:t>É dever do fornecedor atualizar previamente as comprovações constantes do SICAF para que estejam vigentes na data da abertura da sessão pública, ou encaminhar, quando solicitado, a respectiva documentação atualizada.</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themeColor="text1"/>
          <w:sz w:val="24"/>
          <w:szCs w:val="24"/>
        </w:rPr>
        <w:t>O descumprimento do subitem acima implicará a inabilitação do fornecedor, exceto se a consulta aos sítios eletrônicos oficiais emissores de certidões lograr êxito em encontrar a(s) certidão(ões) válida(s).</w:t>
      </w:r>
    </w:p>
    <w:p>
      <w:pPr>
        <w:pStyle w:val="Normal"/>
        <w:widowControl/>
        <w:numPr>
          <w:ilvl w:val="1"/>
          <w:numId w:val="2"/>
        </w:numPr>
        <w:suppressAutoHyphens w:val="true"/>
        <w:bidi w:val="0"/>
        <w:spacing w:lineRule="auto" w:line="276" w:before="120" w:after="120"/>
        <w:ind w:left="0" w:right="0" w:hanging="0"/>
        <w:contextualSpacing/>
        <w:jc w:val="both"/>
        <w:rPr/>
      </w:pPr>
      <w:r>
        <w:rPr>
          <w:rFonts w:cs="Arial" w:ascii="Calibri" w:hAnsi="Calibri"/>
          <w:color w:val="000000" w:themeColor="text1"/>
          <w:sz w:val="24"/>
          <w:szCs w:val="24"/>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w:t>
      </w:r>
      <w:r>
        <w:rPr>
          <w:rFonts w:cs="Arial" w:ascii="Calibri" w:hAnsi="Calibri"/>
          <w:sz w:val="24"/>
          <w:szCs w:val="24"/>
        </w:rPr>
        <w:t>prazo de 02 (duas horas), sob pena de inabilitação. (</w:t>
      </w:r>
      <w:r>
        <w:fldChar w:fldCharType="begin"/>
      </w:r>
      <w:r>
        <w:rPr>
          <w:rStyle w:val="LinkdaInternet"/>
          <w:sz w:val="24"/>
          <w:u w:val="none"/>
          <w:szCs w:val="24"/>
          <w:rFonts w:cs="Arial" w:ascii="Calibri" w:hAnsi="Calibri"/>
        </w:rPr>
        <w:instrText> HYPERLINK "https://www.in.gov.br/en/web/dou/-/instrucao-normativa-seges/me-n-67-de-8-de-julho-de-2021-330985107" \l "art19§3"</w:instrText>
      </w:r>
      <w:r>
        <w:rPr>
          <w:rStyle w:val="LinkdaInternet"/>
          <w:sz w:val="24"/>
          <w:u w:val="none"/>
          <w:szCs w:val="24"/>
          <w:rFonts w:cs="Arial" w:ascii="Calibri" w:hAnsi="Calibri"/>
        </w:rPr>
        <w:fldChar w:fldCharType="separate"/>
      </w:r>
      <w:r>
        <w:rPr>
          <w:rStyle w:val="LinkdaInternet"/>
          <w:rFonts w:cs="Arial" w:ascii="Calibri" w:hAnsi="Calibri"/>
          <w:color w:val="auto"/>
          <w:sz w:val="24"/>
          <w:szCs w:val="24"/>
          <w:u w:val="none"/>
        </w:rPr>
        <w:t>art. 19, § 3º, da IN Seges/ME nº 67, de 2021</w:t>
      </w:r>
      <w:r>
        <w:rPr>
          <w:rStyle w:val="LinkdaInternet"/>
          <w:sz w:val="24"/>
          <w:u w:val="none"/>
          <w:szCs w:val="24"/>
          <w:rFonts w:cs="Arial" w:ascii="Calibri" w:hAnsi="Calibri"/>
        </w:rPr>
        <w:fldChar w:fldCharType="end"/>
      </w:r>
      <w:r>
        <w:rPr>
          <w:rFonts w:cs="Arial" w:ascii="Calibri" w:hAnsi="Calibri"/>
          <w:sz w:val="24"/>
          <w:szCs w:val="24"/>
        </w:rPr>
        <w:t>).</w:t>
      </w:r>
    </w:p>
    <w:p>
      <w:pPr>
        <w:pStyle w:val="Normal"/>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rPr>
        <w:t>Somente haverá a necessidade de comprovação do preenchimento de requisitos mediante apresentação dos documentos originais não-digitais quando houver dúvida em relação à integridade do documento digital.</w:t>
      </w:r>
    </w:p>
    <w:p>
      <w:pPr>
        <w:pStyle w:val="Normal"/>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rPr>
        <w:t>Não serão aceitos documentos de habilitação com indicação de CNPJ/CPF diferentes, salvo aqueles legalmente permitidos.</w:t>
      </w:r>
    </w:p>
    <w:p>
      <w:pPr>
        <w:pStyle w:val="Normal"/>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themeColor="text1"/>
          <w:sz w:val="24"/>
          <w:szCs w:val="24"/>
        </w:rPr>
        <w:t>Serão aceitos registros de CNPJ de licitante matriz e filial com diferenças de números de documentos pertinentes ao CND e ao CRF/FGTS, quando for comprovada a centralização do recolhimento dessas contribuições.</w:t>
      </w:r>
    </w:p>
    <w:p>
      <w:pPr>
        <w:pStyle w:val="Normal"/>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bCs/>
          <w:sz w:val="24"/>
          <w:szCs w:val="24"/>
        </w:rPr>
        <w:t xml:space="preserve">Havendo </w:t>
      </w:r>
      <w:r>
        <w:rPr>
          <w:rFonts w:cs="Arial" w:ascii="Calibri" w:hAnsi="Calibri"/>
          <w:iCs/>
          <w:sz w:val="24"/>
          <w:szCs w:val="24"/>
        </w:rPr>
        <w:t>necessidade</w:t>
      </w:r>
      <w:r>
        <w:rPr>
          <w:rFonts w:cs="Arial" w:ascii="Calibri" w:hAnsi="Calibri"/>
          <w:bCs/>
          <w:sz w:val="24"/>
          <w:szCs w:val="24"/>
        </w:rPr>
        <w:t xml:space="preserve"> de analisar minuciosamente os documentos exigidos, a sessão será suspensa, sendo informada a nova data e horário para a sua continuidade.</w:t>
      </w:r>
    </w:p>
    <w:p>
      <w:pPr>
        <w:pStyle w:val="Normal"/>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color w:val="000000"/>
          <w:sz w:val="24"/>
          <w:szCs w:val="24"/>
        </w:rPr>
        <w:t xml:space="preserve">Será inabilitado o fornecedor que não comprovar sua habilitação, seja por não apresentar </w:t>
      </w:r>
      <w:r>
        <w:rPr>
          <w:rFonts w:cs="Arial" w:ascii="Calibri" w:hAnsi="Calibri"/>
          <w:iCs/>
          <w:sz w:val="24"/>
          <w:szCs w:val="24"/>
        </w:rPr>
        <w:t>quaisquer</w:t>
      </w:r>
      <w:r>
        <w:rPr>
          <w:rFonts w:cs="Arial" w:ascii="Calibri" w:hAnsi="Calibri"/>
          <w:color w:val="000000"/>
          <w:sz w:val="24"/>
          <w:szCs w:val="24"/>
        </w:rPr>
        <w:t xml:space="preserve"> dos </w:t>
      </w:r>
      <w:r>
        <w:rPr>
          <w:rFonts w:cs="Arial" w:ascii="Calibri" w:hAnsi="Calibri"/>
          <w:bCs/>
          <w:sz w:val="24"/>
          <w:szCs w:val="24"/>
        </w:rPr>
        <w:t>documentos</w:t>
      </w:r>
      <w:r>
        <w:rPr>
          <w:rFonts w:cs="Arial" w:ascii="Calibri" w:hAnsi="Calibri"/>
          <w:color w:val="000000"/>
          <w:sz w:val="24"/>
          <w:szCs w:val="24"/>
        </w:rPr>
        <w:t xml:space="preserve"> exigidos, ou apresentá-los em desacordo com o estabelecido neste Aviso de Contratação Direta.</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widowControl/>
        <w:numPr>
          <w:ilvl w:val="1"/>
          <w:numId w:val="2"/>
        </w:numPr>
        <w:suppressAutoHyphens w:val="true"/>
        <w:bidi w:val="0"/>
        <w:spacing w:lineRule="auto" w:line="276" w:before="120" w:after="120"/>
        <w:ind w:left="0" w:right="0" w:hanging="0"/>
        <w:contextualSpacing/>
        <w:jc w:val="both"/>
        <w:rPr>
          <w:rFonts w:ascii="Calibri" w:hAnsi="Calibri"/>
          <w:sz w:val="24"/>
          <w:szCs w:val="24"/>
        </w:rPr>
      </w:pPr>
      <w:r>
        <w:rPr>
          <w:rFonts w:cs="Arial" w:ascii="Calibri" w:hAnsi="Calibri"/>
          <w:iCs/>
          <w:sz w:val="24"/>
          <w:szCs w:val="24"/>
        </w:rPr>
        <w:t>Constatado o atendimento às exigências de habilitação, o fornecedor será habilitado.</w:t>
      </w:r>
    </w:p>
    <w:p>
      <w:pPr>
        <w:pStyle w:val="Normal"/>
        <w:widowControl/>
        <w:numPr>
          <w:ilvl w:val="0"/>
          <w:numId w:val="0"/>
        </w:numPr>
        <w:suppressAutoHyphens w:val="true"/>
        <w:bidi w:val="0"/>
        <w:spacing w:lineRule="auto" w:line="276" w:before="120" w:after="120"/>
        <w:ind w:left="858" w:right="0" w:hanging="0"/>
        <w:contextualSpacing/>
        <w:jc w:val="both"/>
        <w:rPr>
          <w:rFonts w:cs="Arial"/>
          <w:iCs/>
        </w:rPr>
      </w:pPr>
      <w:r>
        <w:rPr>
          <w:rFonts w:ascii="Calibri" w:hAnsi="Calibri"/>
          <w:sz w:val="24"/>
          <w:szCs w:val="24"/>
        </w:rPr>
      </w:r>
    </w:p>
    <w:p>
      <w:pPr>
        <w:pStyle w:val="Ttulo1"/>
        <w:numPr>
          <w:ilvl w:val="0"/>
          <w:numId w:val="2"/>
        </w:numPr>
        <w:rPr>
          <w:rFonts w:ascii="Calibri" w:hAnsi="Calibri"/>
          <w:sz w:val="24"/>
          <w:szCs w:val="24"/>
        </w:rPr>
      </w:pPr>
      <w:bookmarkStart w:id="9" w:name="_Toc118380905"/>
      <w:r>
        <w:rPr>
          <w:rFonts w:ascii="Calibri" w:hAnsi="Calibri"/>
          <w:sz w:val="24"/>
          <w:szCs w:val="24"/>
        </w:rPr>
        <w:t>CONTRATAÇÃO</w:t>
      </w:r>
      <w:bookmarkEnd w:id="9"/>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eastAsia="Arial" w:cs="Arial" w:ascii="Calibri" w:hAnsi="Calibri"/>
          <w:color w:val="000000"/>
          <w:sz w:val="24"/>
          <w:szCs w:val="24"/>
        </w:rPr>
        <w:t>Após a homologação e adjudicação, caso se conclua pela contratação, será firmado Termo de Contrato ou emitido instrumento equivalente.</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eastAsia="Arial" w:cs="Arial" w:ascii="Calibri" w:hAnsi="Calibri"/>
          <w:sz w:val="24"/>
          <w:szCs w:val="24"/>
        </w:rPr>
        <w:t xml:space="preserve">O adjudicatário terá o prazo de 10 (dez) dias úteis, contados a partir da data de sua convocação, para assinar o Termo de Contrato ou aceitar instrumento equivalente, conforme o caso (Nota de Empenho/Carta Contrato/Autorização), sob pena de decair o direito à contratação, sem prejuízo das sanções previstas neste Aviso de Contratação Direta. </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eastAsia="Arial" w:cs="Arial" w:ascii="Calibri" w:hAnsi="Calibri"/>
          <w:color w:val="000000"/>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ascii="Calibri" w:hAnsi="Calibri"/>
          <w:color w:val="000000"/>
          <w:sz w:val="24"/>
          <w:szCs w:val="24"/>
        </w:rPr>
        <w:t>disponibilização de acesso à sistema de processo eletrônico para esse fim ou outro</w:t>
      </w:r>
      <w:r>
        <w:rPr>
          <w:rFonts w:eastAsia="Arial" w:cs="Arial" w:ascii="Calibri" w:hAnsi="Calibri"/>
          <w:color w:val="000000"/>
          <w:sz w:val="24"/>
          <w:szCs w:val="24"/>
        </w:rPr>
        <w:t xml:space="preserve"> meio eletrônico, para que seja assinado e devolvido no prazo de 05 (cinco) dias, a contar da data de seu recebimento</w:t>
      </w:r>
      <w:r>
        <w:rPr>
          <w:rFonts w:eastAsia="Arial" w:ascii="Calibri" w:hAnsi="Calibri"/>
          <w:color w:val="000000"/>
          <w:sz w:val="24"/>
          <w:szCs w:val="24"/>
        </w:rPr>
        <w:t xml:space="preserve"> ou da disponibilização do acesso ao sistema de processo eletrônico.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eastAsia="Arial" w:cs="Arial" w:ascii="Calibri" w:hAnsi="Calibri"/>
          <w:color w:val="000000"/>
          <w:sz w:val="24"/>
          <w:szCs w:val="24"/>
        </w:rPr>
        <w:t>O prazo previsto no subitem anterior poderá ser prorrogado, por igual período, por solicitação justificada do adjudicatário e aceita pela Administração.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eastAsia="Arial" w:cs="Arial" w:ascii="Calibri" w:hAnsi="Calibri"/>
          <w:color w:val="000000"/>
          <w:sz w:val="24"/>
          <w:szCs w:val="24"/>
        </w:rPr>
        <w:t xml:space="preserve">O prazo de vigência da contratação é o estabelecido no Termo de Referência. </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widowControl/>
        <w:numPr>
          <w:ilvl w:val="0"/>
          <w:numId w:val="0"/>
        </w:numPr>
        <w:suppressAutoHyphens w:val="true"/>
        <w:bidi w:val="0"/>
        <w:spacing w:lineRule="auto" w:line="276" w:before="120" w:after="120"/>
        <w:ind w:left="858" w:right="0" w:hanging="0"/>
        <w:jc w:val="both"/>
        <w:rPr>
          <w:rFonts w:cs="Arial"/>
          <w:color w:val="000000"/>
        </w:rPr>
      </w:pPr>
      <w:r>
        <w:rPr>
          <w:rFonts w:ascii="Calibri" w:hAnsi="Calibri"/>
          <w:sz w:val="24"/>
          <w:szCs w:val="24"/>
        </w:rPr>
      </w:r>
    </w:p>
    <w:p>
      <w:pPr>
        <w:pStyle w:val="Ttulo1"/>
        <w:numPr>
          <w:ilvl w:val="0"/>
          <w:numId w:val="2"/>
        </w:numPr>
        <w:rPr>
          <w:rFonts w:ascii="Calibri" w:hAnsi="Calibri"/>
          <w:sz w:val="24"/>
          <w:szCs w:val="24"/>
        </w:rPr>
      </w:pPr>
      <w:bookmarkStart w:id="10" w:name="_Toc118380906"/>
      <w:r>
        <w:rPr>
          <w:rFonts w:ascii="Calibri" w:hAnsi="Calibri"/>
          <w:sz w:val="24"/>
          <w:szCs w:val="24"/>
        </w:rPr>
        <w:t>INFRAÇÕES E SANÇÕES ADMINISTRATIVAS</w:t>
      </w:r>
      <w:bookmarkEnd w:id="10"/>
    </w:p>
    <w:p>
      <w:pPr>
        <w:pStyle w:val="Normal"/>
        <w:widowControl/>
        <w:numPr>
          <w:ilvl w:val="1"/>
          <w:numId w:val="2"/>
        </w:numPr>
        <w:suppressAutoHyphens w:val="true"/>
        <w:bidi w:val="0"/>
        <w:spacing w:lineRule="auto" w:line="276" w:before="120" w:after="120"/>
        <w:ind w:left="0" w:right="0" w:hanging="0"/>
        <w:jc w:val="left"/>
        <w:rPr/>
      </w:pPr>
      <w:r>
        <w:rPr>
          <w:rFonts w:cs="Arial" w:ascii="Calibri" w:hAnsi="Calibri"/>
          <w:sz w:val="24"/>
          <w:szCs w:val="24"/>
        </w:rPr>
        <w:t xml:space="preserve">Comete infração administrativa o fornecedor que praticar quaisquer das hipóteses previstas no </w:t>
      </w:r>
      <w:r>
        <w:fldChar w:fldCharType="begin"/>
      </w:r>
      <w:r>
        <w:rPr>
          <w:rStyle w:val="LinkdaInternet"/>
          <w:sz w:val="24"/>
          <w:u w:val="none"/>
          <w:szCs w:val="24"/>
          <w:rFonts w:cs="Arial" w:ascii="Calibri" w:hAnsi="Calibri"/>
        </w:rPr>
        <w:instrText> HYPERLINK "http://www.planalto.gov.br/ccivil_03/_ato2019-2022/2021/lei/L14133.htm" \l "art155"</w:instrText>
      </w:r>
      <w:r>
        <w:rPr>
          <w:rStyle w:val="LinkdaInternet"/>
          <w:sz w:val="24"/>
          <w:u w:val="none"/>
          <w:szCs w:val="24"/>
          <w:rFonts w:cs="Arial" w:ascii="Calibri" w:hAnsi="Calibri"/>
        </w:rPr>
        <w:fldChar w:fldCharType="separate"/>
      </w:r>
      <w:r>
        <w:rPr>
          <w:rStyle w:val="LinkdaInternet"/>
          <w:rFonts w:cs="Arial" w:ascii="Calibri" w:hAnsi="Calibri"/>
          <w:color w:val="auto"/>
          <w:sz w:val="24"/>
          <w:szCs w:val="24"/>
          <w:u w:val="none"/>
        </w:rPr>
        <w:t>art. 155 da Lei nº 14.133, de 2021</w:t>
      </w:r>
      <w:r>
        <w:rPr>
          <w:rStyle w:val="LinkdaInternet"/>
          <w:sz w:val="24"/>
          <w:u w:val="none"/>
          <w:szCs w:val="24"/>
          <w:rFonts w:cs="Arial" w:ascii="Calibri" w:hAnsi="Calibri"/>
        </w:rPr>
        <w:fldChar w:fldCharType="end"/>
      </w:r>
      <w:r>
        <w:rPr>
          <w:rFonts w:cs="Arial" w:ascii="Calibri" w:hAnsi="Calibri"/>
          <w:sz w:val="24"/>
          <w:szCs w:val="24"/>
        </w:rPr>
        <w:t xml:space="preserve">, quais sejam: </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dar causa à inexecução parcial do contrato</w:t>
      </w:r>
      <w:r>
        <w:rPr>
          <w:rFonts w:cs="Arial" w:ascii="Calibri" w:hAnsi="Calibri"/>
          <w:sz w:val="24"/>
          <w:szCs w:val="24"/>
        </w:rPr>
        <w:t>;</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dar causa à inexecução parcial do contrato que cause grave dano à Administração, ao funcionamento dos serviços públicos ou ao interesse coletivo;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dar causa à inexecução total do contrato;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deixar de entregar a documentação exigida para o certame;</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não manter a proposta, salvo em decorrência de fato superveniente devidamente justificado;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não celebrar o contrato ou não entregar a documentação exigida para a contratação, quando convocado dentro do prazo de validade de sua proposta;</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 </w:t>
      </w:r>
      <w:r>
        <w:rPr>
          <w:rFonts w:cs="Arial" w:ascii="Calibri" w:hAnsi="Calibri"/>
          <w:color w:val="000000"/>
          <w:sz w:val="24"/>
          <w:szCs w:val="24"/>
        </w:rPr>
        <w:t>ensejar o retardamento da execução ou da entrega do objeto da licitação sem motivo justificado;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apresentar declaração ou documentação falsa exigida para o certame ou prestar declaração falsa durante a dispensa eletrônica ou a execução do contrato;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fraudar a dispensa eletrônica ou praticar ato fraudulento na execução do contrato;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 </w:t>
      </w:r>
      <w:r>
        <w:rPr>
          <w:rFonts w:cs="Arial" w:ascii="Calibri" w:hAnsi="Calibri"/>
          <w:color w:val="000000"/>
          <w:sz w:val="24"/>
          <w:szCs w:val="24"/>
        </w:rPr>
        <w:t>comportar-se de modo inidôneo ou cometer fraude de qualquer natureza;</w:t>
      </w:r>
    </w:p>
    <w:p>
      <w:pPr>
        <w:pStyle w:val="ListParagraph"/>
        <w:widowControl w:val="false"/>
        <w:numPr>
          <w:ilvl w:val="3"/>
          <w:numId w:val="2"/>
        </w:numPr>
        <w:suppressAutoHyphens w:val="true"/>
        <w:bidi w:val="0"/>
        <w:spacing w:lineRule="auto" w:line="276" w:before="120" w:after="120"/>
        <w:ind w:left="1134" w:right="0" w:hanging="0"/>
        <w:contextualSpacing/>
        <w:jc w:val="both"/>
        <w:rPr>
          <w:rFonts w:ascii="Calibri" w:hAnsi="Calibri"/>
          <w:sz w:val="24"/>
          <w:szCs w:val="24"/>
        </w:rPr>
      </w:pPr>
      <w:r>
        <w:rPr>
          <w:rFonts w:cs="Arial" w:ascii="Calibri" w:hAnsi="Calibri"/>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 </w:t>
      </w:r>
      <w:r>
        <w:rPr>
          <w:rFonts w:cs="Arial" w:ascii="Calibri" w:hAnsi="Calibri"/>
          <w:color w:val="000000"/>
          <w:sz w:val="24"/>
          <w:szCs w:val="24"/>
        </w:rPr>
        <w:t>praticar atos ilícitos com vistas a frustrar os objetivos deste certame.</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pPr>
      <w:r>
        <w:rPr>
          <w:rFonts w:cs="Arial" w:ascii="Calibri" w:hAnsi="Calibri"/>
          <w:color w:val="000000"/>
          <w:sz w:val="24"/>
          <w:szCs w:val="24"/>
        </w:rPr>
        <w:t xml:space="preserve">praticar ato lesivo previsto </w:t>
      </w:r>
      <w:r>
        <w:rPr>
          <w:rFonts w:cs="Arial" w:ascii="Calibri" w:hAnsi="Calibri"/>
          <w:sz w:val="24"/>
          <w:szCs w:val="24"/>
        </w:rPr>
        <w:t>no </w:t>
      </w:r>
      <w:r>
        <w:fldChar w:fldCharType="begin"/>
      </w:r>
      <w:r>
        <w:rPr>
          <w:rStyle w:val="LinkdaInternet"/>
          <w:sz w:val="24"/>
          <w:u w:val="none"/>
          <w:szCs w:val="24"/>
          <w:rFonts w:ascii="Calibri" w:hAnsi="Calibri"/>
        </w:rPr>
        <w:instrText> HYPERLINK "http://www.planalto.gov.br/ccivil_03/_ato2019-2022/2021/lei/L14133.htm" \l "art5"</w:instrText>
      </w:r>
      <w:r>
        <w:rPr>
          <w:rStyle w:val="LinkdaInternet"/>
          <w:sz w:val="24"/>
          <w:u w:val="none"/>
          <w:szCs w:val="24"/>
          <w:rFonts w:ascii="Calibri" w:hAnsi="Calibri"/>
        </w:rPr>
        <w:fldChar w:fldCharType="separate"/>
      </w:r>
      <w:r>
        <w:rPr>
          <w:rStyle w:val="LinkdaInternet"/>
          <w:rFonts w:ascii="Calibri" w:hAnsi="Calibri"/>
          <w:color w:val="auto"/>
          <w:sz w:val="24"/>
          <w:szCs w:val="24"/>
          <w:u w:val="none"/>
        </w:rPr>
        <w:t>art. 5º da Lei nº 12.846, de 1º de agosto de 2013.</w:t>
      </w:r>
      <w:r>
        <w:rPr>
          <w:rStyle w:val="LinkdaInternet"/>
          <w:sz w:val="24"/>
          <w:u w:val="none"/>
          <w:szCs w:val="24"/>
          <w:rFonts w:ascii="Calibri" w:hAnsi="Calibri"/>
        </w:rPr>
        <w:fldChar w:fldCharType="end"/>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sz w:val="24"/>
          <w:szCs w:val="24"/>
        </w:rPr>
        <w:t>O fornecedor que cometer qualquer das infrações discriminadas nos subitens anteriores ficará sujeito, sem prejuízo da responsabilidade civil e criminal, às seguintes sanções:</w:t>
      </w:r>
    </w:p>
    <w:p>
      <w:pPr>
        <w:pStyle w:val="Normal"/>
        <w:numPr>
          <w:ilvl w:val="2"/>
          <w:numId w:val="4"/>
        </w:numPr>
        <w:spacing w:lineRule="auto" w:line="276" w:before="120" w:after="120"/>
        <w:jc w:val="both"/>
        <w:rPr>
          <w:rFonts w:cs="Arial"/>
        </w:rPr>
      </w:pPr>
      <w:r>
        <w:rPr>
          <w:rFonts w:cs="Arial" w:ascii="Calibri" w:hAnsi="Calibri"/>
          <w:sz w:val="24"/>
          <w:szCs w:val="24"/>
        </w:rPr>
        <w:t>Advertência pela falta do subitem 8.1.1 deste Aviso de Contratação Direta,quando não se justificar a imposição de penalidade mais grave;</w:t>
      </w:r>
    </w:p>
    <w:p>
      <w:pPr>
        <w:pStyle w:val="Normal"/>
        <w:numPr>
          <w:ilvl w:val="2"/>
          <w:numId w:val="4"/>
        </w:numPr>
        <w:spacing w:lineRule="auto" w:line="276" w:before="120" w:after="120"/>
        <w:jc w:val="both"/>
        <w:rPr>
          <w:rFonts w:cs="Arial"/>
        </w:rPr>
      </w:pPr>
      <w:r>
        <w:rPr>
          <w:rFonts w:cs="Arial" w:ascii="Calibri" w:hAnsi="Calibri"/>
          <w:sz w:val="24"/>
          <w:szCs w:val="24"/>
        </w:rPr>
        <w:t>Multa de até 0,5% a 30% (trinta por cento) sobre o valor estimado do(s) item(s) prejudicado(s) pela conduta do fornecedor, por qualquer das infrações dos subitens 8.1.1 a 8.1.12;</w:t>
      </w:r>
    </w:p>
    <w:p>
      <w:pPr>
        <w:pStyle w:val="Normal"/>
        <w:numPr>
          <w:ilvl w:val="2"/>
          <w:numId w:val="4"/>
        </w:numPr>
        <w:spacing w:lineRule="auto" w:line="276" w:before="120" w:after="120"/>
        <w:jc w:val="both"/>
        <w:rPr>
          <w:rFonts w:cs="Arial"/>
        </w:rPr>
      </w:pPr>
      <w:r>
        <w:rPr>
          <w:rFonts w:cs="Arial" w:ascii="Calibri" w:hAnsi="Calibri"/>
          <w:color w:val="000000"/>
          <w:sz w:val="24"/>
          <w:szCs w:val="24"/>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Calibri" w:hAnsi="Calibri"/>
          <w:sz w:val="24"/>
          <w:szCs w:val="24"/>
        </w:rPr>
        <w:t>;</w:t>
      </w:r>
    </w:p>
    <w:p>
      <w:pPr>
        <w:pStyle w:val="Normal"/>
        <w:numPr>
          <w:ilvl w:val="2"/>
          <w:numId w:val="4"/>
        </w:numPr>
        <w:spacing w:lineRule="auto" w:line="276" w:before="120" w:after="120"/>
        <w:jc w:val="both"/>
        <w:rPr>
          <w:rFonts w:cs="Arial"/>
        </w:rPr>
      </w:pPr>
      <w:r>
        <w:rPr>
          <w:rFonts w:cs="Arial" w:ascii="Calibri" w:hAnsi="Calibri"/>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Calibri" w:hAnsi="Calibri"/>
          <w:sz w:val="24"/>
          <w:szCs w:val="24"/>
        </w:rPr>
        <w:t>;</w:t>
      </w:r>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A aplicação das sanções previstas neste Contrato não exclui, em hipótese alguma, a obrigação de reparação integral do dano causado à Contratante (</w:t>
      </w:r>
      <w:r>
        <w:fldChar w:fldCharType="begin"/>
      </w:r>
      <w:r>
        <w:rPr>
          <w:rStyle w:val="LinkdaInternet"/>
          <w:sz w:val="24"/>
          <w:u w:val="none"/>
          <w:szCs w:val="24"/>
          <w:bCs/>
          <w:rFonts w:cs="Arial" w:ascii="Calibri" w:hAnsi="Calibri"/>
        </w:rPr>
        <w:instrText> HYPERLINK "http://www.planalto.gov.br/ccivil_03/_ato2019-2022/2021/lei/L14133.htm" \l "art156§9"</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156, §9º</w:t>
      </w:r>
      <w:r>
        <w:rPr>
          <w:rStyle w:val="LinkdaInternet"/>
          <w:sz w:val="24"/>
          <w:u w:val="none"/>
          <w:szCs w:val="24"/>
          <w:bCs/>
          <w:rFonts w:cs="Arial" w:ascii="Calibri" w:hAnsi="Calibri"/>
        </w:rPr>
        <w:fldChar w:fldCharType="end"/>
      </w:r>
      <w:r>
        <w:rPr>
          <w:rFonts w:cs="Arial" w:ascii="Calibri" w:hAnsi="Calibri"/>
          <w:bCs/>
          <w:sz w:val="24"/>
          <w:szCs w:val="24"/>
        </w:rPr>
        <w:t>).</w:t>
      </w:r>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 xml:space="preserve">Todas as sanções previstas neste Aviso poderão ser aplicadas cumulativamente com a multa </w:t>
      </w:r>
      <w:r>
        <w:fldChar w:fldCharType="begin"/>
      </w:r>
      <w:r>
        <w:rPr>
          <w:rStyle w:val="LinkdaInternet"/>
          <w:sz w:val="24"/>
          <w:u w:val="none"/>
          <w:szCs w:val="24"/>
          <w:bCs/>
          <w:rFonts w:cs="Arial" w:ascii="Calibri" w:hAnsi="Calibri"/>
        </w:rPr>
        <w:instrText> HYPERLINK "http://www.planalto.gov.br/ccivil_03/_ato2019-2022/2021/lei/L14133.htm" \l "art156§7"</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156, §7º</w:t>
      </w:r>
      <w:r>
        <w:rPr>
          <w:rStyle w:val="LinkdaInternet"/>
          <w:sz w:val="24"/>
          <w:u w:val="none"/>
          <w:szCs w:val="24"/>
          <w:bCs/>
          <w:rFonts w:cs="Arial" w:ascii="Calibri" w:hAnsi="Calibri"/>
        </w:rPr>
        <w:fldChar w:fldCharType="end"/>
      </w:r>
      <w:r>
        <w:rPr>
          <w:rFonts w:cs="Arial" w:ascii="Calibri" w:hAnsi="Calibri"/>
          <w:bCs/>
          <w:sz w:val="24"/>
          <w:szCs w:val="24"/>
        </w:rPr>
        <w:t>).</w:t>
      </w:r>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Antes da aplicação da multa, será facultada a defesa do interessado no prazo de 15 (quinze) dias úteis, contado da data de sua intimação (</w:t>
      </w:r>
      <w:r>
        <w:fldChar w:fldCharType="begin"/>
      </w:r>
      <w:r>
        <w:rPr>
          <w:rStyle w:val="LinkdaInternet"/>
          <w:sz w:val="24"/>
          <w:u w:val="none"/>
          <w:szCs w:val="24"/>
          <w:bCs/>
          <w:rFonts w:cs="Arial" w:ascii="Calibri" w:hAnsi="Calibri"/>
        </w:rPr>
        <w:instrText> HYPERLINK "http://www.planalto.gov.br/ccivil_03/_ato2019-2022/2021/lei/L14133.htm" \l "art157"</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157</w:t>
      </w:r>
      <w:r>
        <w:rPr>
          <w:rStyle w:val="LinkdaInternet"/>
          <w:sz w:val="24"/>
          <w:u w:val="none"/>
          <w:szCs w:val="24"/>
          <w:bCs/>
          <w:rFonts w:cs="Arial" w:ascii="Calibri" w:hAnsi="Calibri"/>
        </w:rPr>
        <w:fldChar w:fldCharType="end"/>
      </w:r>
      <w:r>
        <w:rPr>
          <w:rFonts w:cs="Arial" w:ascii="Calibri" w:hAnsi="Calibri"/>
          <w:bCs/>
          <w:sz w:val="24"/>
          <w:szCs w:val="24"/>
        </w:rPr>
        <w:t>).</w:t>
      </w:r>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4"/>
          <w:u w:val="none"/>
          <w:szCs w:val="24"/>
          <w:bCs/>
          <w:rFonts w:cs="Arial" w:ascii="Calibri" w:hAnsi="Calibri"/>
        </w:rPr>
        <w:instrText> HYPERLINK "http://www.planalto.gov.br/ccivil_03/_ato2019-2022/2021/lei/L14133.htm" \l "art156§8"</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156, §8º</w:t>
      </w:r>
      <w:r>
        <w:rPr>
          <w:rStyle w:val="LinkdaInternet"/>
          <w:sz w:val="24"/>
          <w:u w:val="none"/>
          <w:szCs w:val="24"/>
          <w:bCs/>
          <w:rFonts w:cs="Arial" w:ascii="Calibri" w:hAnsi="Calibri"/>
        </w:rPr>
        <w:fldChar w:fldCharType="end"/>
      </w:r>
      <w:r>
        <w:rPr>
          <w:rFonts w:cs="Arial" w:ascii="Calibri" w:hAnsi="Calibri"/>
          <w:bCs/>
          <w:sz w:val="24"/>
          <w:szCs w:val="24"/>
        </w:rPr>
        <w:t>).</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bCs/>
          <w:sz w:val="24"/>
          <w:szCs w:val="24"/>
        </w:rPr>
        <w:t xml:space="preserve">Previamente ao encaminhamento à cobrança judicial, a multa poderá ser recolhida administrativamente no prazo máximo de </w:t>
      </w:r>
      <w:r>
        <w:rPr>
          <w:rFonts w:cs="Arial" w:ascii="Calibri" w:hAnsi="Calibri"/>
          <w:sz w:val="24"/>
          <w:szCs w:val="24"/>
        </w:rPr>
        <w:t>30 (trinta)</w:t>
      </w:r>
      <w:r>
        <w:rPr>
          <w:rFonts w:cs="Arial" w:ascii="Calibri" w:hAnsi="Calibri"/>
          <w:bCs/>
          <w:sz w:val="24"/>
          <w:szCs w:val="24"/>
        </w:rPr>
        <w:t xml:space="preserve"> dias, a contar da data do recebimento da comunicação enviada pela autoridade competente.</w:t>
      </w:r>
      <w:bookmarkStart w:id="11" w:name="_Hlk78351618"/>
      <w:bookmarkEnd w:id="11"/>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 xml:space="preserve">A aplicação das sanções realizar-se-á em processo administrativo que assegure o contraditório e a ampla defesa ao Contratado, observando-se o procedimento previsto no </w:t>
      </w:r>
      <w:r>
        <w:rPr>
          <w:rFonts w:cs="Arial" w:ascii="Calibri" w:hAnsi="Calibri"/>
          <w:sz w:val="24"/>
          <w:szCs w:val="24"/>
        </w:rPr>
        <w:t>caput</w:t>
      </w:r>
      <w:r>
        <w:rPr>
          <w:rFonts w:cs="Arial" w:ascii="Calibri" w:hAnsi="Calibri"/>
          <w:bCs/>
          <w:sz w:val="24"/>
          <w:szCs w:val="24"/>
        </w:rPr>
        <w:t xml:space="preserve">e parágrafos do </w:t>
      </w:r>
      <w:r>
        <w:fldChar w:fldCharType="begin"/>
      </w:r>
      <w:r>
        <w:rPr>
          <w:rStyle w:val="LinkdaInternet"/>
          <w:sz w:val="24"/>
          <w:u w:val="none"/>
          <w:szCs w:val="24"/>
          <w:bCs/>
          <w:rFonts w:cs="Arial" w:ascii="Calibri" w:hAnsi="Calibri"/>
        </w:rPr>
        <w:instrText> HYPERLINK "http://www.planalto.gov.br/ccivil_03/_ato2019-2022/2021/lei/L14133.htm" \l "art158"</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158 da Lei nº 14.133, de 2021</w:t>
      </w:r>
      <w:r>
        <w:rPr>
          <w:rStyle w:val="LinkdaInternet"/>
          <w:sz w:val="24"/>
          <w:u w:val="none"/>
          <w:szCs w:val="24"/>
          <w:bCs/>
          <w:rFonts w:cs="Arial" w:ascii="Calibri" w:hAnsi="Calibri"/>
        </w:rPr>
        <w:fldChar w:fldCharType="end"/>
      </w:r>
      <w:r>
        <w:rPr>
          <w:rFonts w:cs="Arial" w:ascii="Calibri" w:hAnsi="Calibri"/>
          <w:bCs/>
          <w:sz w:val="24"/>
          <w:szCs w:val="24"/>
        </w:rPr>
        <w:t>, para as penalidades de impedimento de licitar e contratar e de declaração de inidoneidade para licitar ou contratar.</w:t>
      </w:r>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Na aplicação das sanções serão considerados (</w:t>
      </w:r>
      <w:r>
        <w:fldChar w:fldCharType="begin"/>
      </w:r>
      <w:r>
        <w:rPr>
          <w:rStyle w:val="LinkdaInternet"/>
          <w:sz w:val="24"/>
          <w:u w:val="none"/>
          <w:szCs w:val="24"/>
          <w:bCs/>
          <w:rFonts w:cs="Arial" w:ascii="Calibri" w:hAnsi="Calibri"/>
        </w:rPr>
        <w:instrText> HYPERLINK "http://www.planalto.gov.br/ccivil_03/_ato2019-2022/2021/lei/L14133.htm" \l "art156§1"</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156, §1º</w:t>
      </w:r>
      <w:r>
        <w:rPr>
          <w:rStyle w:val="LinkdaInternet"/>
          <w:sz w:val="24"/>
          <w:u w:val="none"/>
          <w:szCs w:val="24"/>
          <w:bCs/>
          <w:rFonts w:cs="Arial" w:ascii="Calibri" w:hAnsi="Calibri"/>
        </w:rPr>
        <w:fldChar w:fldCharType="end"/>
      </w:r>
      <w:r>
        <w:rPr>
          <w:rFonts w:cs="Arial" w:ascii="Calibri" w:hAnsi="Calibri"/>
          <w:bCs/>
          <w:sz w:val="24"/>
          <w:szCs w:val="24"/>
        </w:rPr>
        <w:t>):</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bCs/>
          <w:sz w:val="24"/>
          <w:szCs w:val="24"/>
        </w:rPr>
        <w:t>a natureza e a gravidade da infração cometida;</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bCs/>
          <w:sz w:val="24"/>
          <w:szCs w:val="24"/>
        </w:rPr>
        <w:t>as peculiaridades do caso concreto;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bCs/>
          <w:sz w:val="24"/>
          <w:szCs w:val="24"/>
        </w:rPr>
        <w:t>as circunstâncias agravantes ou atenuantes;</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bCs/>
          <w:sz w:val="24"/>
          <w:szCs w:val="24"/>
        </w:rPr>
        <w:t>os danos que dela provierem para o Contratante;</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bCs/>
          <w:sz w:val="24"/>
          <w:szCs w:val="24"/>
        </w:rPr>
        <w:t>a implantação ou o aperfeiçoamento de programa de integridade, conforme normas e orientações dos órgãos de controle.</w:t>
      </w:r>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 xml:space="preserve">Os atos previstos como infrações administrativas na </w:t>
      </w:r>
      <w:hyperlink r:id="rId12">
        <w:r>
          <w:rPr>
            <w:rStyle w:val="LinkdaInternet"/>
            <w:rFonts w:cs="Arial" w:ascii="Calibri" w:hAnsi="Calibri"/>
            <w:bCs/>
            <w:color w:val="auto"/>
            <w:sz w:val="24"/>
            <w:szCs w:val="24"/>
            <w:u w:val="none"/>
          </w:rPr>
          <w:t>Lei nº 14.133, de 2021</w:t>
        </w:r>
      </w:hyperlink>
      <w:r>
        <w:rPr>
          <w:rFonts w:cs="Arial" w:ascii="Calibri" w:hAnsi="Calibri"/>
          <w:bCs/>
          <w:sz w:val="24"/>
          <w:szCs w:val="24"/>
        </w:rPr>
        <w:t xml:space="preserve">, ou em outras leis de licitações e contratos da Administração Pública que também sejam tipificados como atos lesivos na </w:t>
      </w:r>
      <w:hyperlink r:id="rId13">
        <w:r>
          <w:rPr>
            <w:rStyle w:val="LinkdaInternet"/>
            <w:rFonts w:cs="Arial" w:ascii="Calibri" w:hAnsi="Calibri"/>
            <w:bCs/>
            <w:color w:val="auto"/>
            <w:sz w:val="24"/>
            <w:szCs w:val="24"/>
            <w:u w:val="none"/>
          </w:rPr>
          <w:t>Lei nº 12.846, de 1º de agosto de 2013</w:t>
        </w:r>
      </w:hyperlink>
      <w:r>
        <w:rPr>
          <w:rFonts w:cs="Arial" w:ascii="Calibri" w:hAnsi="Calibri"/>
          <w:bCs/>
          <w:sz w:val="24"/>
          <w:szCs w:val="24"/>
        </w:rPr>
        <w:t>, serão apurados e julgados conjuntamente, nos mesmos autos, observados o rito procedimental e autoridade competente definidos na referida Lei (</w:t>
      </w:r>
      <w:r>
        <w:fldChar w:fldCharType="begin"/>
      </w:r>
      <w:r>
        <w:rPr>
          <w:rStyle w:val="LinkdaInternet"/>
          <w:sz w:val="24"/>
          <w:u w:val="none"/>
          <w:szCs w:val="24"/>
          <w:bCs/>
          <w:rFonts w:cs="Arial" w:ascii="Calibri" w:hAnsi="Calibri"/>
        </w:rPr>
        <w:instrText> HYPERLINK "http://www.planalto.gov.br/ccivil_03/_ato2019-2022/2021/lei/L14133.htm" \l "art159"</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159</w:t>
      </w:r>
      <w:r>
        <w:rPr>
          <w:rStyle w:val="LinkdaInternet"/>
          <w:sz w:val="24"/>
          <w:u w:val="none"/>
          <w:szCs w:val="24"/>
          <w:bCs/>
          <w:rFonts w:cs="Arial" w:ascii="Calibri" w:hAnsi="Calibri"/>
        </w:rPr>
        <w:fldChar w:fldCharType="end"/>
      </w:r>
      <w:r>
        <w:rPr>
          <w:rFonts w:cs="Arial" w:ascii="Calibri" w:hAnsi="Calibri"/>
          <w:bCs/>
          <w:sz w:val="24"/>
          <w:szCs w:val="24"/>
        </w:rPr>
        <w:t>).</w:t>
      </w:r>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u w:val="none"/>
          <w:szCs w:val="24"/>
          <w:bCs/>
          <w:rFonts w:cs="Arial" w:ascii="Calibri" w:hAnsi="Calibri"/>
        </w:rPr>
        <w:instrText> HYPERLINK "http://www.planalto.gov.br/ccivil_03/_ato2019-2022/2021/lei/L14133.htm" \l "art160"</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160</w:t>
      </w:r>
      <w:r>
        <w:rPr>
          <w:rStyle w:val="LinkdaInternet"/>
          <w:sz w:val="24"/>
          <w:u w:val="none"/>
          <w:szCs w:val="24"/>
          <w:bCs/>
          <w:rFonts w:cs="Arial" w:ascii="Calibri" w:hAnsi="Calibri"/>
        </w:rPr>
        <w:fldChar w:fldCharType="end"/>
      </w:r>
      <w:r>
        <w:rPr>
          <w:rFonts w:cs="Arial" w:ascii="Calibri" w:hAnsi="Calibri"/>
          <w:bCs/>
          <w:sz w:val="24"/>
          <w:szCs w:val="24"/>
        </w:rPr>
        <w:t>).</w:t>
      </w:r>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 xml:space="preserve"> </w:t>
      </w:r>
      <w:r>
        <w:rPr>
          <w:rFonts w:cs="Arial" w:ascii="Calibri" w:hAnsi="Calibri"/>
          <w:bCs/>
          <w:sz w:val="24"/>
          <w:szCs w:val="24"/>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u w:val="none"/>
          <w:szCs w:val="24"/>
          <w:bCs/>
          <w:rFonts w:cs="Arial" w:ascii="Calibri" w:hAnsi="Calibri"/>
        </w:rPr>
        <w:instrText> HYPERLINK "http://www.planalto.gov.br/ccivil_03/_ato2019-2022/2021/lei/L14133.htm" \l "art161"</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161</w:t>
      </w:r>
      <w:r>
        <w:rPr>
          <w:rStyle w:val="LinkdaInternet"/>
          <w:sz w:val="24"/>
          <w:u w:val="none"/>
          <w:szCs w:val="24"/>
          <w:bCs/>
          <w:rFonts w:cs="Arial" w:ascii="Calibri" w:hAnsi="Calibri"/>
        </w:rPr>
        <w:fldChar w:fldCharType="end"/>
      </w:r>
      <w:r>
        <w:rPr>
          <w:rFonts w:cs="Arial" w:ascii="Calibri" w:hAnsi="Calibri"/>
          <w:bCs/>
          <w:sz w:val="24"/>
          <w:szCs w:val="24"/>
        </w:rPr>
        <w:t>)</w:t>
      </w:r>
    </w:p>
    <w:p>
      <w:pPr>
        <w:pStyle w:val="Normal"/>
        <w:widowControl/>
        <w:numPr>
          <w:ilvl w:val="1"/>
          <w:numId w:val="2"/>
        </w:numPr>
        <w:suppressAutoHyphens w:val="true"/>
        <w:bidi w:val="0"/>
        <w:spacing w:lineRule="auto" w:line="276" w:before="120" w:after="120"/>
        <w:ind w:left="0" w:right="0" w:hanging="0"/>
        <w:jc w:val="both"/>
        <w:rPr/>
      </w:pPr>
      <w:r>
        <w:rPr>
          <w:rFonts w:cs="Arial" w:ascii="Calibri" w:hAnsi="Calibri"/>
          <w:bCs/>
          <w:sz w:val="24"/>
          <w:szCs w:val="24"/>
        </w:rPr>
        <w:t xml:space="preserve">As sanções de impedimento de licitar e contratar e declaração de inidoneidade para licitar ou contratar são passíveis de reabilitação na forma do </w:t>
      </w:r>
      <w:r>
        <w:fldChar w:fldCharType="begin"/>
      </w:r>
      <w:r>
        <w:rPr>
          <w:rStyle w:val="LinkdaInternet"/>
          <w:sz w:val="24"/>
          <w:u w:val="none"/>
          <w:szCs w:val="24"/>
          <w:bCs/>
          <w:rFonts w:cs="Arial" w:ascii="Calibri" w:hAnsi="Calibri"/>
        </w:rPr>
        <w:instrText> HYPERLINK "http://www.planalto.gov.br/ccivil_03/_ato2019-2022/2021/lei/L14133.htm" \l "art163"</w:instrText>
      </w:r>
      <w:r>
        <w:rPr>
          <w:rStyle w:val="LinkdaInternet"/>
          <w:sz w:val="24"/>
          <w:u w:val="none"/>
          <w:szCs w:val="24"/>
          <w:bCs/>
          <w:rFonts w:cs="Arial" w:ascii="Calibri" w:hAnsi="Calibri"/>
        </w:rPr>
        <w:fldChar w:fldCharType="separate"/>
      </w:r>
      <w:r>
        <w:rPr>
          <w:rStyle w:val="LinkdaInternet"/>
          <w:rFonts w:cs="Arial" w:ascii="Calibri" w:hAnsi="Calibri"/>
          <w:bCs/>
          <w:color w:val="auto"/>
          <w:sz w:val="24"/>
          <w:szCs w:val="24"/>
          <w:u w:val="none"/>
        </w:rPr>
        <w:t>art. 163 da Lei nº 14.133, de 2021.</w:t>
      </w:r>
      <w:r>
        <w:rPr>
          <w:rStyle w:val="LinkdaInternet"/>
          <w:sz w:val="24"/>
          <w:u w:val="none"/>
          <w:szCs w:val="24"/>
          <w:bCs/>
          <w:rFonts w:cs="Arial" w:ascii="Calibri" w:hAnsi="Calibri"/>
        </w:rPr>
        <w:fldChar w:fldCharType="end"/>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sz w:val="24"/>
          <w:szCs w:val="24"/>
        </w:rPr>
        <w:t>As sanções por atos praticados no decorrer da contratação estão previstas nos anexos a este Aviso.</w:t>
      </w:r>
    </w:p>
    <w:p>
      <w:pPr>
        <w:pStyle w:val="Ttulo1"/>
        <w:numPr>
          <w:ilvl w:val="0"/>
          <w:numId w:val="2"/>
        </w:numPr>
        <w:rPr>
          <w:rFonts w:ascii="Calibri" w:hAnsi="Calibri"/>
          <w:sz w:val="24"/>
          <w:szCs w:val="24"/>
        </w:rPr>
      </w:pPr>
      <w:bookmarkStart w:id="12" w:name="_Toc118380907"/>
      <w:r>
        <w:rPr>
          <w:rFonts w:ascii="Calibri" w:hAnsi="Calibri"/>
          <w:sz w:val="24"/>
          <w:szCs w:val="24"/>
        </w:rPr>
        <w:t>DAS DISPOSIÇÕES GERAIS</w:t>
      </w:r>
      <w:bookmarkEnd w:id="12"/>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No caso de todos os fornecedores restarem desclassificados ou inabilitados (procedimento fracassado), a Administração poderá:</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republicar o presente aviso com uma nova data;</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widowControl/>
        <w:numPr>
          <w:ilvl w:val="0"/>
          <w:numId w:val="0"/>
        </w:numPr>
        <w:suppressAutoHyphens w:val="true"/>
        <w:bidi w:val="0"/>
        <w:spacing w:lineRule="auto" w:line="276" w:before="120" w:after="120"/>
        <w:ind w:left="2862" w:right="0" w:hanging="0"/>
        <w:contextualSpacing/>
        <w:jc w:val="both"/>
        <w:rPr>
          <w:rFonts w:ascii="Calibri" w:hAnsi="Calibri"/>
          <w:sz w:val="24"/>
          <w:szCs w:val="24"/>
        </w:rPr>
      </w:pPr>
      <w:r>
        <w:rPr>
          <w:rFonts w:cs="Arial" w:ascii="Calibri" w:hAnsi="Calibri"/>
          <w:b/>
          <w:bCs/>
          <w:color w:val="000000"/>
          <w:sz w:val="24"/>
          <w:szCs w:val="24"/>
        </w:rPr>
        <w:t>9.1.2.1.</w:t>
        <w:tab/>
      </w:r>
      <w:r>
        <w:rPr>
          <w:rFonts w:cs="Arial" w:ascii="Calibri" w:hAnsi="Calibri"/>
          <w:color w:val="000000"/>
          <w:sz w:val="24"/>
          <w:szCs w:val="24"/>
        </w:rPr>
        <w:t>No caso do subitem anterior, a contratação será operacionalizada fora deste procedimento.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fixar prazo para que possa haver adequação das propostas ou da documentação de habilitação, conforme o caso.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As providências dos subitens 9.1.1 e 9.1.2 também poderão ser utilizadas se não houver o comparecimento de quaisquer fornecedores interessados (procedimento deserto).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widowControl/>
        <w:numPr>
          <w:ilvl w:val="1"/>
          <w:numId w:val="2"/>
        </w:numPr>
        <w:tabs>
          <w:tab w:val="left" w:pos="488" w:leader="none"/>
        </w:tabs>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Em caso de divergência entre disposições deste Aviso de Contratação Direta e de seus anexos ou demais peças que compõem o processo, prevalecerá as deste Aviso.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Da sessão pública será divulgada Ata no sistema eletrônico.</w:t>
      </w:r>
    </w:p>
    <w:p>
      <w:pPr>
        <w:pStyle w:val="Normal"/>
        <w:widowControl/>
        <w:numPr>
          <w:ilvl w:val="1"/>
          <w:numId w:val="2"/>
        </w:numPr>
        <w:suppressAutoHyphens w:val="true"/>
        <w:bidi w:val="0"/>
        <w:spacing w:lineRule="auto" w:line="276" w:before="120" w:after="120"/>
        <w:ind w:left="0" w:right="0" w:hanging="0"/>
        <w:jc w:val="both"/>
        <w:rPr>
          <w:rFonts w:ascii="Calibri" w:hAnsi="Calibri"/>
          <w:sz w:val="24"/>
          <w:szCs w:val="24"/>
        </w:rPr>
      </w:pPr>
      <w:r>
        <w:rPr>
          <w:rFonts w:cs="Arial" w:ascii="Calibri" w:hAnsi="Calibri"/>
          <w:color w:val="000000"/>
          <w:sz w:val="24"/>
          <w:szCs w:val="24"/>
        </w:rPr>
        <w:t>Integram este Aviso de Contratação Direta, para todos os fins e efeitos, os seguintes anexos:</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ANEXO I – Documentação exigida para Habilitação</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color w:val="000000"/>
          <w:sz w:val="24"/>
          <w:szCs w:val="24"/>
        </w:rPr>
        <w:t>ANEXO II - Termo de Referência e seus Apêndices; e</w:t>
      </w:r>
    </w:p>
    <w:p>
      <w:pPr>
        <w:pStyle w:val="Normal"/>
        <w:keepNext w:val="false"/>
        <w:widowControl w:val="false"/>
        <w:numPr>
          <w:ilvl w:val="2"/>
          <w:numId w:val="2"/>
        </w:numPr>
        <w:shd w:val="clear" w:color="auto" w:fill="auto"/>
        <w:suppressAutoHyphens w:val="true"/>
        <w:bidi w:val="0"/>
        <w:spacing w:lineRule="auto" w:line="276" w:before="120" w:after="120"/>
        <w:ind w:left="567" w:right="0" w:hanging="0"/>
        <w:jc w:val="both"/>
        <w:textAlignment w:val="baseline"/>
        <w:rPr>
          <w:rFonts w:ascii="Calibri" w:hAnsi="Calibri"/>
          <w:sz w:val="24"/>
          <w:szCs w:val="24"/>
        </w:rPr>
      </w:pPr>
      <w:r>
        <w:rPr>
          <w:rFonts w:cs="Arial" w:ascii="Calibri" w:hAnsi="Calibri"/>
          <w:sz w:val="24"/>
          <w:szCs w:val="24"/>
        </w:rPr>
        <w:t>ANEXO III – Minuta de Termo de Contrato.</w:t>
      </w:r>
    </w:p>
    <w:p>
      <w:pPr>
        <w:pStyle w:val="Normal"/>
        <w:widowControl/>
        <w:suppressAutoHyphens w:val="true"/>
        <w:bidi w:val="0"/>
        <w:spacing w:lineRule="auto" w:line="276" w:before="0" w:after="120"/>
        <w:ind w:left="0" w:right="0" w:hanging="0"/>
        <w:jc w:val="both"/>
        <w:rPr>
          <w:rFonts w:ascii="Calibri" w:hAnsi="Calibri"/>
          <w:sz w:val="24"/>
          <w:szCs w:val="24"/>
        </w:rPr>
      </w:pPr>
      <w:r>
        <w:rPr>
          <w:rFonts w:cs="Arial" w:ascii="Calibri" w:hAnsi="Calibri"/>
          <w:color w:val="000000"/>
          <w:sz w:val="24"/>
          <w:szCs w:val="24"/>
        </w:rPr>
        <w:t>Rio de Janeiro, 15 de junho de 2023.</w:t>
      </w:r>
    </w:p>
    <w:p>
      <w:pPr>
        <w:pStyle w:val="Normal"/>
        <w:spacing w:lineRule="auto" w:line="276" w:before="0" w:after="120"/>
        <w:ind w:left="360" w:right="-15" w:hanging="0"/>
        <w:jc w:val="both"/>
        <w:rPr>
          <w:rFonts w:ascii="Calibri" w:hAnsi="Calibri" w:cs="Arial"/>
          <w:color w:val="000000"/>
          <w:sz w:val="24"/>
          <w:szCs w:val="24"/>
        </w:rPr>
      </w:pPr>
      <w:r>
        <w:rPr>
          <w:rFonts w:cs="Arial" w:ascii="Calibri" w:hAnsi="Calibri"/>
          <w:color w:val="000000"/>
          <w:sz w:val="24"/>
          <w:szCs w:val="24"/>
        </w:rPr>
      </w:r>
    </w:p>
    <w:p>
      <w:pPr>
        <w:pStyle w:val="Normal"/>
        <w:spacing w:lineRule="auto" w:line="276" w:before="0" w:after="120"/>
        <w:ind w:left="360" w:right="-15" w:hanging="0"/>
        <w:jc w:val="both"/>
        <w:rPr>
          <w:rFonts w:ascii="Calibri" w:hAnsi="Calibri" w:cs="Arial"/>
          <w:color w:val="000000"/>
          <w:sz w:val="24"/>
          <w:szCs w:val="24"/>
        </w:rPr>
      </w:pPr>
      <w:r>
        <w:rPr>
          <w:rFonts w:cs="Arial" w:ascii="Calibri" w:hAnsi="Calibri"/>
          <w:color w:val="000000"/>
          <w:sz w:val="24"/>
          <w:szCs w:val="24"/>
        </w:rPr>
      </w:r>
    </w:p>
    <w:p>
      <w:pPr>
        <w:pStyle w:val="Normal"/>
        <w:spacing w:lineRule="auto" w:line="276"/>
        <w:jc w:val="center"/>
        <w:rPr>
          <w:rFonts w:cs="Arial"/>
          <w:iCs/>
          <w:color w:val="000000"/>
          <w:szCs w:val="20"/>
        </w:rPr>
      </w:pPr>
      <w:r>
        <w:rPr>
          <w:rFonts w:cs="Arial" w:ascii="Calibri" w:hAnsi="Calibri"/>
          <w:iCs/>
          <w:color w:val="000000"/>
          <w:sz w:val="24"/>
          <w:szCs w:val="24"/>
        </w:rPr>
        <w:t>AUGUSTO CÉZAR ARAUJO DOS SANTOS</w:t>
      </w:r>
    </w:p>
    <w:p>
      <w:pPr>
        <w:pStyle w:val="Normal"/>
        <w:spacing w:lineRule="auto" w:line="276"/>
        <w:jc w:val="center"/>
        <w:rPr>
          <w:rFonts w:cs="Arial"/>
          <w:iCs/>
          <w:color w:val="000000"/>
          <w:szCs w:val="20"/>
        </w:rPr>
      </w:pPr>
      <w:r>
        <w:rPr>
          <w:rFonts w:cs="Arial" w:ascii="Calibri" w:hAnsi="Calibri"/>
          <w:iCs/>
          <w:color w:val="000000"/>
          <w:sz w:val="24"/>
          <w:szCs w:val="24"/>
        </w:rPr>
        <w:t>Capitão de Fragata (IM)</w:t>
      </w:r>
    </w:p>
    <w:p>
      <w:pPr>
        <w:pStyle w:val="Normal"/>
        <w:spacing w:lineRule="auto" w:line="276"/>
        <w:jc w:val="center"/>
        <w:rPr>
          <w:rFonts w:ascii="Calibri" w:hAnsi="Calibri"/>
          <w:sz w:val="24"/>
          <w:szCs w:val="24"/>
        </w:rPr>
      </w:pPr>
      <w:r>
        <w:rPr>
          <w:rFonts w:cs="Arial" w:ascii="Calibri" w:hAnsi="Calibri"/>
          <w:iCs/>
          <w:color w:val="000000"/>
          <w:sz w:val="24"/>
          <w:szCs w:val="24"/>
        </w:rPr>
        <w:t>Diretor</w:t>
      </w:r>
    </w:p>
    <w:p>
      <w:pPr>
        <w:pStyle w:val="Nivel2"/>
        <w:numPr>
          <w:ilvl w:val="0"/>
          <w:numId w:val="0"/>
        </w:numPr>
        <w:tabs>
          <w:tab w:val="left" w:pos="567" w:leader="none"/>
        </w:tabs>
        <w:spacing w:lineRule="auto" w:line="240" w:before="0" w:after="0"/>
        <w:ind w:left="2124" w:hanging="360"/>
        <w:rPr>
          <w:rFonts w:ascii="Calibri" w:hAnsi="Calibri"/>
          <w:sz w:val="24"/>
          <w:szCs w:val="24"/>
        </w:rPr>
      </w:pPr>
      <w:r>
        <w:rPr>
          <w:rFonts w:ascii="Calibri" w:hAnsi="Calibri"/>
          <w:sz w:val="24"/>
          <w:szCs w:val="24"/>
        </w:rPr>
      </w:r>
    </w:p>
    <w:sectPr>
      <w:headerReference w:type="even" r:id="rId14"/>
      <w:headerReference w:type="default" r:id="rId15"/>
      <w:headerReference w:type="first" r:id="rId16"/>
      <w:footerReference w:type="default" r:id="rId17"/>
      <w:footerReference w:type="first" r:id="rId18"/>
      <w:type w:val="nextPage"/>
      <w:pgSz w:w="11906" w:h="16838"/>
      <w:pgMar w:left="1701" w:right="1134" w:header="0" w:top="1132" w:footer="1134" w:bottom="142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swiss"/>
    <w:pitch w:val="variable"/>
  </w:font>
  <w:font w:name="Calibri Light">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center"/>
      <w:rPr>
        <w:rFonts w:ascii="Calibri" w:hAnsi="Calibri"/>
        <w:sz w:val="24"/>
        <w:szCs w:val="24"/>
      </w:rPr>
    </w:pPr>
    <w:r>
      <w:rPr>
        <w:rFonts w:ascii="Calibri" w:hAnsi="Calibri"/>
        <w:sz w:val="24"/>
        <w:szCs w:val="24"/>
      </w:rPr>
      <w:t xml:space="preserve">Página </w:t>
    </w:r>
    <w:r>
      <w:rPr>
        <w:rFonts w:ascii="Calibri" w:hAnsi="Calibri"/>
        <w:sz w:val="24"/>
        <w:szCs w:val="24"/>
      </w:rPr>
      <w:fldChar w:fldCharType="begin"/>
    </w:r>
    <w:r>
      <w:rPr>
        <w:sz w:val="24"/>
        <w:szCs w:val="24"/>
        <w:rFonts w:ascii="Calibri" w:hAnsi="Calibri"/>
      </w:rPr>
      <w:instrText> PAGE </w:instrText>
    </w:r>
    <w:r>
      <w:rPr>
        <w:sz w:val="24"/>
        <w:szCs w:val="24"/>
        <w:rFonts w:ascii="Calibri" w:hAnsi="Calibri"/>
      </w:rPr>
      <w:fldChar w:fldCharType="separate"/>
    </w:r>
    <w:r>
      <w:rPr>
        <w:sz w:val="24"/>
        <w:szCs w:val="24"/>
        <w:rFonts w:ascii="Calibri" w:hAnsi="Calibri"/>
      </w:rPr>
      <w:t>16</w:t>
    </w:r>
    <w:r>
      <w:rPr>
        <w:sz w:val="24"/>
        <w:szCs w:val="24"/>
        <w:rFonts w:ascii="Calibri" w:hAnsi="Calibri"/>
      </w:rPr>
      <w:fldChar w:fldCharType="end"/>
    </w:r>
    <w:r>
      <w:rPr>
        <w:rFonts w:ascii="Calibri" w:hAnsi="Calibri"/>
        <w:sz w:val="24"/>
        <w:szCs w:val="24"/>
      </w:rPr>
      <w:t xml:space="preserve"> </w:t>
    </w:r>
    <w:r>
      <w:rPr>
        <w:rFonts w:ascii="Calibri" w:hAnsi="Calibri"/>
        <w:sz w:val="24"/>
        <w:szCs w:val="24"/>
      </w:rPr>
      <w:t xml:space="preserve">de </w:t>
    </w:r>
    <w:r>
      <w:rPr>
        <w:rFonts w:ascii="Calibri" w:hAnsi="Calibri"/>
        <w:sz w:val="24"/>
        <w:szCs w:val="24"/>
      </w:rPr>
      <w:fldChar w:fldCharType="begin"/>
    </w:r>
    <w:r>
      <w:rPr>
        <w:sz w:val="24"/>
        <w:szCs w:val="24"/>
        <w:rFonts w:ascii="Calibri" w:hAnsi="Calibri"/>
      </w:rPr>
      <w:instrText> NUMPAGES </w:instrText>
    </w:r>
    <w:r>
      <w:rPr>
        <w:sz w:val="24"/>
        <w:szCs w:val="24"/>
        <w:rFonts w:ascii="Calibri" w:hAnsi="Calibri"/>
      </w:rPr>
      <w:fldChar w:fldCharType="separate"/>
    </w:r>
    <w:r>
      <w:rPr>
        <w:sz w:val="24"/>
        <w:szCs w:val="24"/>
        <w:rFonts w:ascii="Calibri" w:hAnsi="Calibri"/>
      </w:rPr>
      <w:t>16</w:t>
    </w:r>
    <w:r>
      <w:rPr>
        <w:sz w:val="24"/>
        <w:szCs w:val="24"/>
        <w:rFonts w:ascii="Calibri" w:hAnsi="Calibri"/>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114300" distR="117475" simplePos="0" locked="0" layoutInCell="1" allowOverlap="1" relativeHeight="3">
          <wp:simplePos x="0" y="0"/>
          <wp:positionH relativeFrom="column">
            <wp:posOffset>-3363595</wp:posOffset>
          </wp:positionH>
          <wp:positionV relativeFrom="paragraph">
            <wp:posOffset>635</wp:posOffset>
          </wp:positionV>
          <wp:extent cx="7560310" cy="10692130"/>
          <wp:effectExtent l="0" t="0" r="0" b="0"/>
          <wp:wrapNone/>
          <wp:docPr id="2" name="Figura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5"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decimal"/>
      <w:lvlText w:val="%1."/>
      <w:lvlJc w:val="left"/>
      <w:pPr>
        <w:ind w:left="360" w:hanging="360"/>
      </w:pPr>
      <w:rPr>
        <w:sz w:val="24"/>
        <w:b/>
        <w:szCs w:val="24"/>
      </w:r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360" w:hanging="360"/>
      </w:pPr>
      <w:rPr>
        <w:b/>
      </w:rPr>
    </w:lvl>
    <w:lvl w:ilvl="1">
      <w:start w:val="1"/>
      <w:numFmt w:val="decimal"/>
      <w:lvlText w:val="%1.%2."/>
      <w:lvlJc w:val="left"/>
      <w:pPr>
        <w:ind w:left="858" w:hanging="432"/>
      </w:pPr>
      <w:rPr>
        <w:sz w:val="24"/>
        <w:i w:val="false"/>
        <w:b/>
        <w:szCs w:val="24"/>
        <w:iCs/>
        <w:rFonts w:ascii="Calibri" w:hAnsi="Calibri"/>
      </w:rPr>
    </w:lvl>
    <w:lvl w:ilvl="2">
      <w:start w:val="1"/>
      <w:numFmt w:val="decimal"/>
      <w:lvlText w:val="%1.%2.%3."/>
      <w:lvlJc w:val="left"/>
      <w:pPr>
        <w:ind w:left="1224" w:hanging="504"/>
      </w:pPr>
      <w:rPr>
        <w:sz w:val="24"/>
        <w:i w:val="false"/>
        <w:b/>
        <w:szCs w:val="24"/>
        <w:iCs/>
        <w:bCs/>
        <w:rFonts w:ascii="Calibri" w:hAnsi="Calibri"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708"/>
  <w:autoHyphenation w:val="false"/>
  <w:evenAndOddHeaders/>
  <w:compat/>
  <w:themeFontLang w:val="pt-B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uiPriority="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annotation subject" w:qFormat="1"/>
    <w:lsdException w:name="Balloon Text"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qFormat="1"/>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781aff"/>
    <w:pPr>
      <w:keepNext w:val="false"/>
      <w:widowControl/>
      <w:numPr>
        <w:ilvl w:val="0"/>
        <w:numId w:val="1"/>
      </w:numPr>
      <w:shd w:val="clear" w:color="auto" w:fill="auto"/>
      <w:bidi w:val="0"/>
      <w:spacing w:before="120" w:after="120"/>
      <w:jc w:val="left"/>
      <w:outlineLvl w:val="0"/>
    </w:pPr>
    <w:rPr>
      <w:rFonts w:ascii="Arial" w:hAnsi="Arial" w:eastAsia="Calibri" w:cs="Arial" w:cstheme="minorBidi" w:eastAsiaTheme="minorHAnsi"/>
      <w:b/>
      <w:color w:val="auto"/>
      <w:kern w:val="0"/>
      <w:sz w:val="20"/>
      <w:szCs w:val="22"/>
      <w:lang w:val="pt-BR" w:eastAsia="en-US" w:bidi="ar-SA"/>
    </w:rPr>
  </w:style>
  <w:style w:type="paragraph" w:styleId="Ttulo2">
    <w:name w:val="Heading 2"/>
    <w:basedOn w:val="Ttulo"/>
    <w:next w:val="Corpodetexto"/>
    <w:qFormat/>
    <w:pPr>
      <w:numPr>
        <w:ilvl w:val="1"/>
        <w:numId w:val="1"/>
      </w:numPr>
      <w:spacing w:before="200" w:after="120"/>
      <w:outlineLvl w:val="1"/>
    </w:pPr>
    <w:rPr>
      <w:b/>
      <w:bCs/>
      <w:sz w:val="32"/>
      <w:szCs w:val="32"/>
    </w:rPr>
  </w:style>
  <w:style w:type="paragraph" w:styleId="Ttulo3">
    <w:name w:val="Heading 3"/>
    <w:basedOn w:val="Ttulo"/>
    <w:next w:val="Corpodetexto"/>
    <w:qFormat/>
    <w:pPr>
      <w:numPr>
        <w:ilvl w:val="2"/>
        <w:numId w:val="1"/>
      </w:numPr>
      <w:spacing w:before="140" w:after="120"/>
      <w:outlineLvl w:val="2"/>
    </w:pPr>
    <w:rPr>
      <w:b/>
      <w:bCs/>
      <w:sz w:val="28"/>
      <w:szCs w:val="28"/>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link w:val="Citao"/>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c074da"/>
    <w:rPr>
      <w:sz w:val="16"/>
      <w:szCs w:val="16"/>
    </w:rPr>
  </w:style>
  <w:style w:type="character" w:styleId="TextodecomentrioChar" w:customStyle="1">
    <w:name w:val="Texto de comentário Char"/>
    <w:basedOn w:val="DefaultParagraphFont"/>
    <w:link w:val="Textodecomentrio"/>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c074da"/>
    <w:rPr>
      <w:rFonts w:ascii="Arial" w:hAnsi="Arial" w:eastAsia="Times New Roman" w:cs="Tahoma"/>
      <w:b/>
      <w:bCs/>
      <w:sz w:val="20"/>
      <w:szCs w:val="20"/>
      <w:lang w:eastAsia="pt-BR"/>
    </w:rPr>
  </w:style>
  <w:style w:type="character" w:styleId="LinkdaInternet">
    <w:name w:val="Link da Internet"/>
    <w:basedOn w:val="DefaultParagraphFont"/>
    <w:uiPriority w:val="99"/>
    <w:unhideWhenUsed/>
    <w:rsid w:val="00c074da"/>
    <w:rPr>
      <w:color w:val="0563C1" w:themeColor="hyperlink"/>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c074da"/>
    <w:rPr>
      <w:rFonts w:ascii="Arial" w:hAnsi="Arial" w:eastAsia="Times New Roman" w:cs="Tahoma"/>
      <w:sz w:val="20"/>
      <w:szCs w:val="24"/>
      <w:lang w:eastAsia="pt-BR"/>
    </w:rPr>
  </w:style>
  <w:style w:type="character" w:styleId="Linkdainternetvisitado" w:customStyle="1">
    <w:name w:val="Link da internet visitado"/>
    <w:basedOn w:val="DefaultParagraphFont"/>
    <w:uiPriority w:val="99"/>
    <w:semiHidden/>
    <w:unhideWhenUsed/>
    <w:rsid w:val="00c074da"/>
    <w:rPr>
      <w:color w:val="954F72" w:themeColor="followedHyperlink"/>
      <w:u w:val="single"/>
    </w:rPr>
  </w:style>
  <w:style w:type="character" w:styleId="Strong">
    <w:name w:val="Strong"/>
    <w:basedOn w:val="DefaultParagraphFont"/>
    <w:uiPriority w:val="22"/>
    <w:qFormat/>
    <w:rsid w:val="00c074da"/>
    <w:rPr>
      <w:b/>
      <w:bCs/>
    </w:rPr>
  </w:style>
  <w:style w:type="character" w:styleId="TtuloChar" w:customStyle="1">
    <w:name w:val="Título Char"/>
    <w:basedOn w:val="DefaultParagraphFont"/>
    <w:link w:val="Ttulo"/>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link w:val="Corpodetexto"/>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val="404040" w:themeColor="text1" w:themeTint="bf"/>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val="538135" w:themeColor="accent6" w:themeShade="bf"/>
      <w:sz w:val="24"/>
    </w:rPr>
  </w:style>
  <w:style w:type="character" w:styleId="UnresolvedMention" w:customStyle="1">
    <w:name w:val="Unresolved Mention"/>
    <w:basedOn w:val="DefaultParagraphFont"/>
    <w:uiPriority w:val="99"/>
    <w:semiHidden/>
    <w:unhideWhenUsed/>
    <w:qFormat/>
    <w:rsid w:val="004d7acd"/>
    <w:rPr>
      <w:color w:val="605E5C"/>
      <w:shd w:fill="E1DFDD" w:val="clear"/>
    </w:rPr>
  </w:style>
  <w:style w:type="character" w:styleId="FollowedHyperlink">
    <w:name w:val="FollowedHyperlink"/>
    <w:basedOn w:val="DefaultParagraphFont"/>
    <w:uiPriority w:val="99"/>
    <w:semiHidden/>
    <w:unhideWhenUsed/>
    <w:qFormat/>
    <w:rsid w:val="00a47c33"/>
    <w:rPr>
      <w:color w:val="954F72" w:themeColor="followedHyperlink"/>
      <w:u w:val="single"/>
    </w:rPr>
  </w:style>
  <w:style w:type="character" w:styleId="ListLabel1">
    <w:name w:val="ListLabel 1"/>
    <w:qFormat/>
    <w:rPr>
      <w:b/>
    </w:rPr>
  </w:style>
  <w:style w:type="character" w:styleId="ListLabel2">
    <w:name w:val="ListLabel 2"/>
    <w:qFormat/>
    <w:rPr>
      <w:rFonts w:ascii="Arial" w:hAnsi="Arial"/>
      <w:b/>
      <w:i w:val="false"/>
      <w:iCs/>
    </w:rPr>
  </w:style>
  <w:style w:type="character" w:styleId="ListLabel3">
    <w:name w:val="ListLabel 3"/>
    <w:qFormat/>
    <w:rPr>
      <w:rFonts w:ascii="Arial" w:hAnsi="Arial" w:cs="Arial"/>
      <w:b w:val="false"/>
      <w:i w:val="false"/>
      <w:iCs/>
      <w:color w:val="auto"/>
    </w:rPr>
  </w:style>
  <w:style w:type="character" w:styleId="ListLabel4">
    <w:name w:val="ListLabel 4"/>
    <w:qFormat/>
    <w:rPr>
      <w:b/>
      <w:i w:val="false"/>
      <w:strike w:val="false"/>
      <w:dstrike w:val="false"/>
    </w:rPr>
  </w:style>
  <w:style w:type="character" w:styleId="ListLabel5">
    <w:name w:val="ListLabel 5"/>
    <w:qFormat/>
    <w:rPr>
      <w:b w:val="false"/>
      <w:strike w:val="false"/>
      <w:dstrike w:val="false"/>
    </w:rPr>
  </w:style>
  <w:style w:type="character" w:styleId="ListLabel6">
    <w:name w:val="ListLabel 6"/>
    <w:qFormat/>
    <w:rPr>
      <w:i w:val="false"/>
      <w:strike w:val="false"/>
      <w:dstrike w:val="false"/>
    </w:rPr>
  </w:style>
  <w:style w:type="character" w:styleId="ListLabel7">
    <w:name w:val="ListLabel 7"/>
    <w:qFormat/>
    <w:rPr>
      <w:b/>
    </w:rPr>
  </w:style>
  <w:style w:type="character" w:styleId="ListLabel8">
    <w:name w:val="ListLabel 8"/>
    <w:qFormat/>
    <w:rPr>
      <w:b w:val="false"/>
      <w:i w:val="false"/>
      <w:iCs/>
    </w:rPr>
  </w:style>
  <w:style w:type="character" w:styleId="ListLabel9">
    <w:name w:val="ListLabel 9"/>
    <w:qFormat/>
    <w:rPr>
      <w:rFonts w:cs="Arial"/>
      <w:b w:val="false"/>
      <w:i w:val="false"/>
      <w:iCs/>
      <w:color w:val="auto"/>
    </w:rPr>
  </w:style>
  <w:style w:type="character" w:styleId="ListLabel10">
    <w:name w:val="ListLabel 10"/>
    <w:qFormat/>
    <w:rPr>
      <w:b/>
    </w:rPr>
  </w:style>
  <w:style w:type="character" w:styleId="ListLabel11">
    <w:name w:val="ListLabel 11"/>
    <w:qFormat/>
    <w:rPr>
      <w:b w:val="false"/>
      <w:i w:val="false"/>
      <w:iCs/>
    </w:rPr>
  </w:style>
  <w:style w:type="character" w:styleId="ListLabel12">
    <w:name w:val="ListLabel 12"/>
    <w:qFormat/>
    <w:rPr>
      <w:b w:val="false"/>
      <w:i w:val="false"/>
      <w:iCs/>
      <w:color w:val="auto"/>
    </w:rPr>
  </w:style>
  <w:style w:type="character" w:styleId="ListLabel13">
    <w:name w:val="ListLabel 13"/>
    <w:qFormat/>
    <w:rPr>
      <w:rFonts w:eastAsia="WenQuanYi Micro Hei"/>
      <w:b w:val="false"/>
      <w:bCs/>
      <w:i w:val="false"/>
      <w:iCs w:val="false"/>
      <w:color w:val="auto"/>
    </w:rPr>
  </w:style>
  <w:style w:type="character" w:styleId="ListLabel14">
    <w:name w:val="ListLabel 14"/>
    <w:qFormat/>
    <w:rPr>
      <w:rFonts w:eastAsia="WenQuanYi Micro Hei" w:cs="Arial"/>
      <w:b/>
      <w:bCs/>
      <w:i w:val="false"/>
      <w:iCs w:val="false"/>
      <w:color w:val="auto"/>
    </w:rPr>
  </w:style>
  <w:style w:type="character" w:styleId="ListLabel15">
    <w:name w:val="ListLabel 15"/>
    <w:qFormat/>
    <w:rPr>
      <w:rFonts w:ascii="Calibri" w:hAnsi="Calibri" w:eastAsia="WenQuanYi Micro Hei" w:cs="Arial"/>
      <w:b/>
      <w:bCs/>
      <w:i w:val="false"/>
      <w:strike w:val="false"/>
      <w:dstrike w:val="false"/>
      <w:color w:val="000000"/>
      <w:sz w:val="22"/>
      <w:szCs w:val="20"/>
      <w:u w:val="none"/>
      <w:effect w:val="none"/>
    </w:rPr>
  </w:style>
  <w:style w:type="character" w:styleId="ListLabel16">
    <w:name w:val="ListLabel 16"/>
    <w:qFormat/>
    <w:rPr>
      <w:rFonts w:eastAsia="WenQuanYi Micro Hei"/>
      <w:b/>
      <w:i w:val="false"/>
      <w:color w:val="000000"/>
    </w:rPr>
  </w:style>
  <w:style w:type="character" w:styleId="ListLabel17">
    <w:name w:val="ListLabel 17"/>
    <w:qFormat/>
    <w:rPr>
      <w:rFonts w:eastAsia="WenQuanYi Micro Hei"/>
      <w:b w:val="false"/>
      <w:i w:val="false"/>
      <w:color w:val="000000"/>
    </w:rPr>
  </w:style>
  <w:style w:type="character" w:styleId="ListLabel18">
    <w:name w:val="ListLabel 18"/>
    <w:qFormat/>
    <w:rPr>
      <w:rFonts w:eastAsia="WenQuanYi Micro Hei"/>
      <w:b/>
      <w:i w:val="false"/>
      <w:color w:val="000000"/>
    </w:rPr>
  </w:style>
  <w:style w:type="character" w:styleId="ListLabel19">
    <w:name w:val="ListLabel 19"/>
    <w:qFormat/>
    <w:rPr>
      <w:rFonts w:eastAsia="WenQuanYi Micro Hei"/>
      <w:b/>
      <w:i w:val="false"/>
      <w:color w:val="000000"/>
    </w:rPr>
  </w:style>
  <w:style w:type="character" w:styleId="ListLabel20">
    <w:name w:val="ListLabel 20"/>
    <w:qFormat/>
    <w:rPr>
      <w:rFonts w:eastAsia="WenQuanYi Micro Hei"/>
      <w:b/>
      <w:i w:val="false"/>
      <w:color w:val="000000"/>
    </w:rPr>
  </w:style>
  <w:style w:type="character" w:styleId="ListLabel21">
    <w:name w:val="ListLabel 21"/>
    <w:qFormat/>
    <w:rPr>
      <w:rFonts w:eastAsia="WenQuanYi Micro Hei"/>
      <w:b/>
      <w:i w:val="false"/>
      <w:color w:val="000000"/>
    </w:rPr>
  </w:style>
  <w:style w:type="character" w:styleId="ListLabel22">
    <w:name w:val="ListLabel 22"/>
    <w:qFormat/>
    <w:rPr>
      <w:b/>
      <w:bCs/>
    </w:rPr>
  </w:style>
  <w:style w:type="character" w:styleId="ListLabel23">
    <w:name w:val="ListLabel 23"/>
    <w:qFormat/>
    <w:rPr>
      <w:rFonts w:cs="Arial"/>
    </w:rPr>
  </w:style>
  <w:style w:type="character" w:styleId="ListLabel24">
    <w:name w:val="ListLabel 24"/>
    <w:qFormat/>
    <w:rPr>
      <w:b/>
    </w:rPr>
  </w:style>
  <w:style w:type="character" w:styleId="ListLabel25">
    <w:name w:val="ListLabel 25"/>
    <w:qFormat/>
    <w:rPr>
      <w:b w:val="false"/>
      <w:i w:val="false"/>
      <w:iCs/>
    </w:rPr>
  </w:style>
  <w:style w:type="character" w:styleId="ListLabel26">
    <w:name w:val="ListLabel 26"/>
    <w:qFormat/>
    <w:rPr>
      <w:rFonts w:cs="Arial"/>
      <w:b w:val="false"/>
      <w:i w:val="false"/>
      <w:iCs/>
      <w:color w:val="auto"/>
    </w:rPr>
  </w:style>
  <w:style w:type="character" w:styleId="ListLabel27">
    <w:name w:val="ListLabel 27"/>
    <w:qFormat/>
    <w:rPr>
      <w:color w:val="000000"/>
    </w:rPr>
  </w:style>
  <w:style w:type="character" w:styleId="ListLabel28">
    <w:name w:val="ListLabel 28"/>
    <w:qFormat/>
    <w:rPr>
      <w:color w:val="000000"/>
    </w:rPr>
  </w:style>
  <w:style w:type="character" w:styleId="ListLabel29">
    <w:name w:val="ListLabel 29"/>
    <w:qFormat/>
    <w:rPr>
      <w:color w:val="000000"/>
    </w:rPr>
  </w:style>
  <w:style w:type="character" w:styleId="ListLabel30">
    <w:name w:val="ListLabel 30"/>
    <w:qFormat/>
    <w:rPr>
      <w:color w:val="000000"/>
    </w:rPr>
  </w:style>
  <w:style w:type="character" w:styleId="ListLabel31">
    <w:name w:val="ListLabel 31"/>
    <w:qFormat/>
    <w:rPr>
      <w:color w:val="000000"/>
    </w:rPr>
  </w:style>
  <w:style w:type="character" w:styleId="ListLabel32">
    <w:name w:val="ListLabel 32"/>
    <w:qFormat/>
    <w:rPr>
      <w:color w:val="000000"/>
    </w:rPr>
  </w:style>
  <w:style w:type="character" w:styleId="ListLabel33">
    <w:name w:val="ListLabel 33"/>
    <w:qFormat/>
    <w:rPr>
      <w:color w:val="000000"/>
    </w:rPr>
  </w:style>
  <w:style w:type="character" w:styleId="ListLabel34">
    <w:name w:val="ListLabel 34"/>
    <w:qFormat/>
    <w:rPr>
      <w:color w:val="000000"/>
    </w:rPr>
  </w:style>
  <w:style w:type="character" w:styleId="ListLabel35">
    <w:name w:val="ListLabel 35"/>
    <w:qFormat/>
    <w:rPr>
      <w:color w:val="000000"/>
    </w:rPr>
  </w:style>
  <w:style w:type="character" w:styleId="ListLabel36">
    <w:name w:val="ListLabel 36"/>
    <w:qFormat/>
    <w:rPr>
      <w:rFonts w:cs="Tahoma"/>
      <w:color w:val="auto"/>
    </w:rPr>
  </w:style>
  <w:style w:type="character" w:styleId="ListLabel37">
    <w:name w:val="ListLabel 37"/>
    <w:qFormat/>
    <w:rPr>
      <w:rFonts w:cs="Tahoma"/>
      <w:color w:val="auto"/>
    </w:rPr>
  </w:style>
  <w:style w:type="character" w:styleId="ListLabel38">
    <w:name w:val="ListLabel 38"/>
    <w:qFormat/>
    <w:rPr>
      <w:rFonts w:cs="Tahoma"/>
      <w:color w:val="auto"/>
    </w:rPr>
  </w:style>
  <w:style w:type="character" w:styleId="ListLabel39">
    <w:name w:val="ListLabel 39"/>
    <w:qFormat/>
    <w:rPr>
      <w:rFonts w:cs="Tahoma"/>
      <w:color w:val="auto"/>
    </w:rPr>
  </w:style>
  <w:style w:type="character" w:styleId="ListLabel40">
    <w:name w:val="ListLabel 40"/>
    <w:qFormat/>
    <w:rPr>
      <w:rFonts w:cs="Tahoma"/>
      <w:color w:val="auto"/>
    </w:rPr>
  </w:style>
  <w:style w:type="character" w:styleId="ListLabel41">
    <w:name w:val="ListLabel 41"/>
    <w:qFormat/>
    <w:rPr>
      <w:rFonts w:cs="Tahoma"/>
      <w:color w:val="auto"/>
    </w:rPr>
  </w:style>
  <w:style w:type="character" w:styleId="ListLabel42">
    <w:name w:val="ListLabel 42"/>
    <w:qFormat/>
    <w:rPr>
      <w:rFonts w:cs="Tahoma"/>
      <w:color w:val="auto"/>
    </w:rPr>
  </w:style>
  <w:style w:type="character" w:styleId="ListLabel43">
    <w:name w:val="ListLabel 43"/>
    <w:qFormat/>
    <w:rPr>
      <w:rFonts w:cs="Tahoma"/>
      <w:color w:val="auto"/>
    </w:rPr>
  </w:style>
  <w:style w:type="character" w:styleId="ListLabel44">
    <w:name w:val="ListLabel 44"/>
    <w:qFormat/>
    <w:rPr>
      <w:rFonts w:cs="Tahoma"/>
      <w:color w:val="auto"/>
    </w:rPr>
  </w:style>
  <w:style w:type="character" w:styleId="ListLabel45">
    <w:name w:val="ListLabel 45"/>
    <w:qFormat/>
    <w:rPr>
      <w:b/>
      <w:i w:val="false"/>
      <w:strike w:val="false"/>
      <w:dstrike w:val="false"/>
      <w:color w:val="auto"/>
      <w:sz w:val="24"/>
      <w:szCs w:val="24"/>
    </w:rPr>
  </w:style>
  <w:style w:type="character" w:styleId="ListLabel46">
    <w:name w:val="ListLabel 46"/>
    <w:qFormat/>
    <w:rPr>
      <w:b w:val="false"/>
      <w:bCs w:val="false"/>
      <w:i w:val="false"/>
      <w:strike w:val="false"/>
      <w:dstrike w:val="false"/>
      <w:color w:val="auto"/>
      <w:sz w:val="24"/>
      <w:szCs w:val="24"/>
      <w:u w:val="none"/>
      <w:effect w:val="none"/>
    </w:rPr>
  </w:style>
  <w:style w:type="character" w:styleId="ListLabel47">
    <w:name w:val="ListLabel 47"/>
    <w:qFormat/>
    <w:rPr>
      <w:b w:val="false"/>
      <w:i w:val="false"/>
      <w:color w:val="auto"/>
      <w:sz w:val="24"/>
      <w:szCs w:val="24"/>
    </w:rPr>
  </w:style>
  <w:style w:type="character" w:styleId="ListLabel48">
    <w:name w:val="ListLabel 48"/>
    <w:qFormat/>
    <w:rPr>
      <w:sz w:val="24"/>
      <w:szCs w:val="24"/>
    </w:rPr>
  </w:style>
  <w:style w:type="character" w:styleId="ListLabel49">
    <w:name w:val="ListLabel 49"/>
    <w:qFormat/>
    <w:rPr>
      <w:b/>
      <w:i w:val="false"/>
      <w:strike w:val="false"/>
      <w:dstrike w:val="false"/>
    </w:rPr>
  </w:style>
  <w:style w:type="character" w:styleId="ListLabel50">
    <w:name w:val="ListLabel 50"/>
    <w:qFormat/>
    <w:rPr>
      <w:b w:val="false"/>
      <w:strike w:val="false"/>
      <w:dstrike w:val="false"/>
    </w:rPr>
  </w:style>
  <w:style w:type="character" w:styleId="ListLabel51">
    <w:name w:val="ListLabel 51"/>
    <w:qFormat/>
    <w:rPr>
      <w:i w:val="false"/>
      <w:strike w:val="false"/>
      <w:dstrike w:val="false"/>
    </w:rPr>
  </w:style>
  <w:style w:type="character" w:styleId="ListLabel52">
    <w:name w:val="ListLabel 52"/>
    <w:qFormat/>
    <w:rPr>
      <w:rFonts w:cs="Arial"/>
      <w:color w:val="auto"/>
      <w:szCs w:val="20"/>
      <w:u w:val="none"/>
    </w:rPr>
  </w:style>
  <w:style w:type="character" w:styleId="ListLabel53">
    <w:name w:val="ListLabel 53"/>
    <w:qFormat/>
    <w:rPr>
      <w:rFonts w:cs="Arial"/>
      <w:bCs/>
      <w:color w:val="auto"/>
      <w:szCs w:val="20"/>
      <w:u w:val="none"/>
    </w:rPr>
  </w:style>
  <w:style w:type="character" w:styleId="ListLabel54">
    <w:name w:val="ListLabel 54"/>
    <w:qFormat/>
    <w:rPr>
      <w:rFonts w:eastAsia="Calibri" w:cs="Arial"/>
      <w:color w:val="auto"/>
      <w:szCs w:val="20"/>
      <w:u w:val="none"/>
    </w:rPr>
  </w:style>
  <w:style w:type="character" w:styleId="ListLabel55">
    <w:name w:val="ListLabel 55"/>
    <w:qFormat/>
    <w:rPr>
      <w:rFonts w:cs="Arial"/>
      <w:bCs/>
      <w:color w:val="auto"/>
      <w:u w:val="none"/>
    </w:rPr>
  </w:style>
  <w:style w:type="character" w:styleId="ListLabel56">
    <w:name w:val="ListLabel 56"/>
    <w:qFormat/>
    <w:rPr>
      <w:rFonts w:cs="Arial"/>
      <w:iCs/>
      <w:color w:val="auto"/>
      <w:szCs w:val="20"/>
      <w:u w:val="none"/>
      <w:lang w:eastAsia="en-US"/>
    </w:rPr>
  </w:style>
  <w:style w:type="character" w:styleId="ListLabel57">
    <w:name w:val="ListLabel 57"/>
    <w:qFormat/>
    <w:rPr>
      <w:rFonts w:cs="Arial"/>
      <w:color w:val="auto"/>
      <w:szCs w:val="20"/>
      <w:u w:val="none"/>
      <w:lang w:eastAsia="ar-SA"/>
    </w:rPr>
  </w:style>
  <w:style w:type="character" w:styleId="ListLabel58">
    <w:name w:val="ListLabel 58"/>
    <w:qFormat/>
    <w:rPr>
      <w:color w:val="auto"/>
      <w:u w:val="none"/>
    </w:rPr>
  </w:style>
  <w:style w:type="character" w:styleId="ListLabel59">
    <w:name w:val="ListLabel 59"/>
    <w:qFormat/>
    <w:rPr>
      <w:rFonts w:cs="Arial"/>
      <w:color w:val="auto"/>
      <w:u w:val="none"/>
    </w:rPr>
  </w:style>
  <w:style w:type="character" w:styleId="ListLabel60">
    <w:name w:val="ListLabel 60"/>
    <w:qFormat/>
    <w:rPr>
      <w:rFonts w:cs="Arial"/>
      <w:bCs/>
      <w:color w:val="auto"/>
      <w:szCs w:val="20"/>
    </w:rPr>
  </w:style>
  <w:style w:type="character" w:styleId="Vnculodendice">
    <w:name w:val="Vínculo de índice"/>
    <w:qFormat/>
    <w:rPr/>
  </w:style>
  <w:style w:type="character" w:styleId="ListLabel61">
    <w:name w:val="ListLabel 61"/>
    <w:qFormat/>
    <w:rPr>
      <w:b/>
    </w:rPr>
  </w:style>
  <w:style w:type="character" w:styleId="ListLabel62">
    <w:name w:val="ListLabel 62"/>
    <w:qFormat/>
    <w:rPr>
      <w:b/>
    </w:rPr>
  </w:style>
  <w:style w:type="character" w:styleId="ListLabel63">
    <w:name w:val="ListLabel 63"/>
    <w:qFormat/>
    <w:rPr>
      <w:b/>
      <w:i w:val="false"/>
      <w:iCs/>
    </w:rPr>
  </w:style>
  <w:style w:type="character" w:styleId="ListLabel64">
    <w:name w:val="ListLabel 64"/>
    <w:qFormat/>
    <w:rPr>
      <w:rFonts w:ascii="Arial" w:hAnsi="Arial" w:cs="Arial"/>
      <w:b w:val="false"/>
      <w:i w:val="false"/>
      <w:iCs/>
      <w:color w:val="auto"/>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auto"/>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auto"/>
    </w:rPr>
  </w:style>
  <w:style w:type="character" w:styleId="ListLabel71">
    <w:name w:val="ListLabel 71"/>
    <w:qFormat/>
    <w:rPr>
      <w:rFonts w:eastAsia="WenQuanYi Micro Hei"/>
      <w:b w:val="false"/>
      <w:bCs/>
      <w:i w:val="false"/>
      <w:iCs w:val="false"/>
      <w:color w:val="auto"/>
    </w:rPr>
  </w:style>
  <w:style w:type="character" w:styleId="ListLabel72">
    <w:name w:val="ListLabel 72"/>
    <w:qFormat/>
    <w:rPr>
      <w:rFonts w:eastAsia="WenQuanYi Micro Hei" w:cs="Arial"/>
      <w:b/>
      <w:bCs/>
      <w:i w:val="false"/>
      <w:iCs w:val="false"/>
      <w:color w:val="auto"/>
    </w:rPr>
  </w:style>
  <w:style w:type="character" w:styleId="ListLabel73">
    <w:name w:val="ListLabel 73"/>
    <w:qFormat/>
    <w:rPr>
      <w:rFonts w:ascii="Calibri" w:hAnsi="Calibri" w:eastAsia="WenQuanYi Micro Hei" w:cs="Arial"/>
      <w:b/>
      <w:bCs/>
      <w:i w:val="false"/>
      <w:strike w:val="false"/>
      <w:dstrike w:val="false"/>
      <w:color w:val="000000"/>
      <w:sz w:val="22"/>
      <w:szCs w:val="20"/>
      <w:u w:val="none"/>
      <w:effect w:val="none"/>
    </w:rPr>
  </w:style>
  <w:style w:type="character" w:styleId="ListLabel74">
    <w:name w:val="ListLabel 74"/>
    <w:qFormat/>
    <w:rPr>
      <w:rFonts w:eastAsia="WenQuanYi Micro Hei"/>
      <w:b/>
      <w:i w:val="false"/>
      <w:color w:val="000000"/>
    </w:rPr>
  </w:style>
  <w:style w:type="character" w:styleId="ListLabel75">
    <w:name w:val="ListLabel 75"/>
    <w:qFormat/>
    <w:rPr>
      <w:rFonts w:eastAsia="WenQuanYi Micro Hei"/>
      <w:b w:val="false"/>
      <w:i w:val="false"/>
      <w:color w:val="000000"/>
    </w:rPr>
  </w:style>
  <w:style w:type="character" w:styleId="ListLabel76">
    <w:name w:val="ListLabel 76"/>
    <w:qFormat/>
    <w:rPr>
      <w:rFonts w:eastAsia="WenQuanYi Micro Hei"/>
      <w:b/>
      <w:i w:val="false"/>
      <w:color w:val="000000"/>
    </w:rPr>
  </w:style>
  <w:style w:type="character" w:styleId="ListLabel77">
    <w:name w:val="ListLabel 77"/>
    <w:qFormat/>
    <w:rPr>
      <w:rFonts w:eastAsia="WenQuanYi Micro Hei"/>
      <w:b/>
      <w:i w:val="false"/>
      <w:color w:val="000000"/>
    </w:rPr>
  </w:style>
  <w:style w:type="character" w:styleId="ListLabel78">
    <w:name w:val="ListLabel 78"/>
    <w:qFormat/>
    <w:rPr>
      <w:rFonts w:eastAsia="WenQuanYi Micro Hei"/>
      <w:b/>
      <w:i w:val="false"/>
      <w:color w:val="000000"/>
    </w:rPr>
  </w:style>
  <w:style w:type="character" w:styleId="ListLabel79">
    <w:name w:val="ListLabel 79"/>
    <w:qFormat/>
    <w:rPr>
      <w:rFonts w:eastAsia="WenQuanYi Micro Hei"/>
      <w:b/>
      <w:i w:val="false"/>
      <w:color w:val="000000"/>
    </w:rPr>
  </w:style>
  <w:style w:type="character" w:styleId="ListLabel80">
    <w:name w:val="ListLabel 80"/>
    <w:qFormat/>
    <w:rPr>
      <w:rFonts w:ascii="Arial" w:hAnsi="Arial" w:cs="Arial"/>
    </w:rPr>
  </w:style>
  <w:style w:type="character" w:styleId="ListLabel81">
    <w:name w:val="ListLabel 81"/>
    <w:qFormat/>
    <w:rPr>
      <w:rFonts w:cs="Arial"/>
      <w:color w:val="auto"/>
      <w:szCs w:val="20"/>
      <w:u w:val="none"/>
    </w:rPr>
  </w:style>
  <w:style w:type="character" w:styleId="ListLabel82">
    <w:name w:val="ListLabel 82"/>
    <w:qFormat/>
    <w:rPr>
      <w:rFonts w:cs="Arial"/>
      <w:bCs/>
      <w:color w:val="auto"/>
      <w:szCs w:val="20"/>
      <w:u w:val="none"/>
    </w:rPr>
  </w:style>
  <w:style w:type="character" w:styleId="ListLabel83">
    <w:name w:val="ListLabel 83"/>
    <w:qFormat/>
    <w:rPr>
      <w:rFonts w:eastAsia="Calibri" w:cs="Arial"/>
      <w:color w:val="auto"/>
      <w:szCs w:val="20"/>
      <w:u w:val="none"/>
    </w:rPr>
  </w:style>
  <w:style w:type="character" w:styleId="ListLabel84">
    <w:name w:val="ListLabel 84"/>
    <w:qFormat/>
    <w:rPr>
      <w:rFonts w:cs="Arial"/>
      <w:bCs/>
      <w:color w:val="auto"/>
      <w:u w:val="none"/>
    </w:rPr>
  </w:style>
  <w:style w:type="character" w:styleId="ListLabel85">
    <w:name w:val="ListLabel 85"/>
    <w:qFormat/>
    <w:rPr>
      <w:rFonts w:cs="Arial"/>
      <w:iCs/>
      <w:color w:val="auto"/>
      <w:szCs w:val="20"/>
      <w:u w:val="none"/>
      <w:lang w:eastAsia="en-US"/>
    </w:rPr>
  </w:style>
  <w:style w:type="character" w:styleId="ListLabel86">
    <w:name w:val="ListLabel 86"/>
    <w:qFormat/>
    <w:rPr>
      <w:rFonts w:cs="Arial"/>
      <w:color w:val="auto"/>
      <w:szCs w:val="20"/>
      <w:u w:val="none"/>
      <w:lang w:eastAsia="ar-SA"/>
    </w:rPr>
  </w:style>
  <w:style w:type="character" w:styleId="ListLabel87">
    <w:name w:val="ListLabel 87"/>
    <w:qFormat/>
    <w:rPr>
      <w:color w:val="auto"/>
      <w:u w:val="none"/>
    </w:rPr>
  </w:style>
  <w:style w:type="character" w:styleId="ListLabel88">
    <w:name w:val="ListLabel 88"/>
    <w:qFormat/>
    <w:rPr>
      <w:rFonts w:cs="Arial"/>
      <w:color w:val="auto"/>
      <w:u w:val="none"/>
    </w:rPr>
  </w:style>
  <w:style w:type="character" w:styleId="ListLabel89">
    <w:name w:val="ListLabel 89"/>
    <w:qFormat/>
    <w:rPr>
      <w:rFonts w:cs="Arial"/>
      <w:bCs/>
      <w:color w:val="auto"/>
      <w:szCs w:val="20"/>
    </w:rPr>
  </w:style>
  <w:style w:type="character" w:styleId="ListLabel90">
    <w:name w:val="ListLabel 90"/>
    <w:qFormat/>
    <w:rPr>
      <w:b/>
    </w:rPr>
  </w:style>
  <w:style w:type="character" w:styleId="ListLabel91">
    <w:name w:val="ListLabel 91"/>
    <w:qFormat/>
    <w:rPr>
      <w:b/>
    </w:rPr>
  </w:style>
  <w:style w:type="character" w:styleId="ListLabel92">
    <w:name w:val="ListLabel 92"/>
    <w:qFormat/>
    <w:rPr>
      <w:b/>
      <w:i w:val="false"/>
      <w:iCs/>
    </w:rPr>
  </w:style>
  <w:style w:type="character" w:styleId="ListLabel93">
    <w:name w:val="ListLabel 93"/>
    <w:qFormat/>
    <w:rPr>
      <w:rFonts w:ascii="Arial" w:hAnsi="Arial" w:cs="Arial"/>
      <w:b w:val="false"/>
      <w:i w:val="false"/>
      <w:iCs/>
      <w:color w:val="auto"/>
    </w:rPr>
  </w:style>
  <w:style w:type="character" w:styleId="ListLabel94">
    <w:name w:val="ListLabel 94"/>
    <w:qFormat/>
    <w:rPr>
      <w:b/>
    </w:rPr>
  </w:style>
  <w:style w:type="character" w:styleId="ListLabel95">
    <w:name w:val="ListLabel 95"/>
    <w:qFormat/>
    <w:rPr>
      <w:b w:val="false"/>
      <w:i w:val="false"/>
      <w:iCs/>
    </w:rPr>
  </w:style>
  <w:style w:type="character" w:styleId="ListLabel96">
    <w:name w:val="ListLabel 96"/>
    <w:qFormat/>
    <w:rPr>
      <w:rFonts w:cs="Arial"/>
      <w:b w:val="false"/>
      <w:i w:val="false"/>
      <w:iCs/>
      <w:color w:val="auto"/>
    </w:rPr>
  </w:style>
  <w:style w:type="character" w:styleId="ListLabel97">
    <w:name w:val="ListLabel 97"/>
    <w:qFormat/>
    <w:rPr>
      <w:b/>
    </w:rPr>
  </w:style>
  <w:style w:type="character" w:styleId="ListLabel98">
    <w:name w:val="ListLabel 98"/>
    <w:qFormat/>
    <w:rPr>
      <w:b w:val="false"/>
      <w:i w:val="false"/>
      <w:iCs/>
    </w:rPr>
  </w:style>
  <w:style w:type="character" w:styleId="ListLabel99">
    <w:name w:val="ListLabel 99"/>
    <w:qFormat/>
    <w:rPr>
      <w:b w:val="false"/>
      <w:i w:val="false"/>
      <w:iCs/>
      <w:color w:val="auto"/>
    </w:rPr>
  </w:style>
  <w:style w:type="character" w:styleId="ListLabel100">
    <w:name w:val="ListLabel 100"/>
    <w:qFormat/>
    <w:rPr>
      <w:rFonts w:cs="Arial"/>
      <w:color w:val="auto"/>
      <w:szCs w:val="20"/>
      <w:u w:val="none"/>
    </w:rPr>
  </w:style>
  <w:style w:type="character" w:styleId="ListLabel101">
    <w:name w:val="ListLabel 101"/>
    <w:qFormat/>
    <w:rPr>
      <w:rFonts w:cs="Arial"/>
      <w:bCs/>
      <w:color w:val="auto"/>
      <w:szCs w:val="20"/>
      <w:u w:val="none"/>
    </w:rPr>
  </w:style>
  <w:style w:type="character" w:styleId="ListLabel102">
    <w:name w:val="ListLabel 102"/>
    <w:qFormat/>
    <w:rPr>
      <w:rFonts w:eastAsia="Calibri" w:cs="Arial"/>
      <w:color w:val="auto"/>
      <w:szCs w:val="20"/>
      <w:u w:val="none"/>
    </w:rPr>
  </w:style>
  <w:style w:type="character" w:styleId="ListLabel103">
    <w:name w:val="ListLabel 103"/>
    <w:qFormat/>
    <w:rPr>
      <w:rFonts w:cs="Arial"/>
      <w:bCs/>
      <w:color w:val="auto"/>
      <w:u w:val="none"/>
    </w:rPr>
  </w:style>
  <w:style w:type="character" w:styleId="ListLabel104">
    <w:name w:val="ListLabel 104"/>
    <w:qFormat/>
    <w:rPr>
      <w:rFonts w:cs="Arial"/>
      <w:iCs/>
      <w:color w:val="auto"/>
      <w:szCs w:val="20"/>
      <w:u w:val="none"/>
      <w:lang w:eastAsia="en-US"/>
    </w:rPr>
  </w:style>
  <w:style w:type="character" w:styleId="ListLabel105">
    <w:name w:val="ListLabel 105"/>
    <w:qFormat/>
    <w:rPr>
      <w:rFonts w:cs="Arial"/>
      <w:color w:val="auto"/>
      <w:szCs w:val="20"/>
      <w:u w:val="none"/>
      <w:lang w:eastAsia="ar-SA"/>
    </w:rPr>
  </w:style>
  <w:style w:type="character" w:styleId="ListLabel106">
    <w:name w:val="ListLabel 106"/>
    <w:qFormat/>
    <w:rPr>
      <w:color w:val="auto"/>
      <w:u w:val="none"/>
    </w:rPr>
  </w:style>
  <w:style w:type="character" w:styleId="ListLabel107">
    <w:name w:val="ListLabel 107"/>
    <w:qFormat/>
    <w:rPr>
      <w:rFonts w:cs="Arial"/>
      <w:color w:val="auto"/>
      <w:u w:val="none"/>
    </w:rPr>
  </w:style>
  <w:style w:type="character" w:styleId="ListLabel108">
    <w:name w:val="ListLabel 108"/>
    <w:qFormat/>
    <w:rPr>
      <w:b/>
    </w:rPr>
  </w:style>
  <w:style w:type="character" w:styleId="ListLabel109">
    <w:name w:val="ListLabel 109"/>
    <w:qFormat/>
    <w:rPr>
      <w:b/>
    </w:rPr>
  </w:style>
  <w:style w:type="character" w:styleId="ListLabel110">
    <w:name w:val="ListLabel 110"/>
    <w:qFormat/>
    <w:rPr>
      <w:b/>
      <w:i w:val="false"/>
      <w:iCs/>
    </w:rPr>
  </w:style>
  <w:style w:type="character" w:styleId="ListLabel111">
    <w:name w:val="ListLabel 111"/>
    <w:qFormat/>
    <w:rPr>
      <w:rFonts w:ascii="Arial" w:hAnsi="Arial" w:cs="Arial"/>
      <w:b w:val="false"/>
      <w:i w:val="false"/>
      <w:iCs/>
      <w:color w:val="auto"/>
    </w:rPr>
  </w:style>
  <w:style w:type="character" w:styleId="ListLabel112">
    <w:name w:val="ListLabel 112"/>
    <w:qFormat/>
    <w:rPr>
      <w:b/>
    </w:rPr>
  </w:style>
  <w:style w:type="character" w:styleId="ListLabel113">
    <w:name w:val="ListLabel 113"/>
    <w:qFormat/>
    <w:rPr>
      <w:b w:val="false"/>
      <w:i w:val="false"/>
      <w:iCs/>
    </w:rPr>
  </w:style>
  <w:style w:type="character" w:styleId="ListLabel114">
    <w:name w:val="ListLabel 114"/>
    <w:qFormat/>
    <w:rPr>
      <w:rFonts w:cs="Arial"/>
      <w:b w:val="false"/>
      <w:i w:val="false"/>
      <w:iCs/>
      <w:color w:val="auto"/>
    </w:rPr>
  </w:style>
  <w:style w:type="character" w:styleId="ListLabel115">
    <w:name w:val="ListLabel 115"/>
    <w:qFormat/>
    <w:rPr>
      <w:b/>
    </w:rPr>
  </w:style>
  <w:style w:type="character" w:styleId="ListLabel116">
    <w:name w:val="ListLabel 116"/>
    <w:qFormat/>
    <w:rPr>
      <w:b w:val="false"/>
      <w:i w:val="false"/>
      <w:iCs/>
    </w:rPr>
  </w:style>
  <w:style w:type="character" w:styleId="ListLabel117">
    <w:name w:val="ListLabel 117"/>
    <w:qFormat/>
    <w:rPr>
      <w:b w:val="false"/>
      <w:i w:val="false"/>
      <w:iCs/>
      <w:color w:val="auto"/>
    </w:rPr>
  </w:style>
  <w:style w:type="character" w:styleId="ListLabel118">
    <w:name w:val="ListLabel 118"/>
    <w:qFormat/>
    <w:rPr>
      <w:rFonts w:cs="Arial"/>
      <w:color w:val="auto"/>
      <w:szCs w:val="20"/>
      <w:u w:val="none"/>
    </w:rPr>
  </w:style>
  <w:style w:type="character" w:styleId="ListLabel119">
    <w:name w:val="ListLabel 119"/>
    <w:qFormat/>
    <w:rPr>
      <w:rFonts w:cs="Arial"/>
      <w:bCs/>
      <w:color w:val="auto"/>
      <w:szCs w:val="20"/>
      <w:u w:val="none"/>
    </w:rPr>
  </w:style>
  <w:style w:type="character" w:styleId="ListLabel120">
    <w:name w:val="ListLabel 120"/>
    <w:qFormat/>
    <w:rPr>
      <w:rFonts w:eastAsia="Calibri" w:cs="Arial"/>
      <w:color w:val="auto"/>
      <w:szCs w:val="20"/>
      <w:u w:val="none"/>
    </w:rPr>
  </w:style>
  <w:style w:type="character" w:styleId="ListLabel121">
    <w:name w:val="ListLabel 121"/>
    <w:qFormat/>
    <w:rPr>
      <w:rFonts w:cs="Arial"/>
      <w:bCs/>
      <w:color w:val="auto"/>
      <w:u w:val="none"/>
    </w:rPr>
  </w:style>
  <w:style w:type="character" w:styleId="ListLabel122">
    <w:name w:val="ListLabel 122"/>
    <w:qFormat/>
    <w:rPr>
      <w:rFonts w:cs="Arial"/>
      <w:iCs/>
      <w:color w:val="auto"/>
      <w:szCs w:val="20"/>
      <w:u w:val="none"/>
      <w:lang w:eastAsia="en-US"/>
    </w:rPr>
  </w:style>
  <w:style w:type="character" w:styleId="ListLabel123">
    <w:name w:val="ListLabel 123"/>
    <w:qFormat/>
    <w:rPr>
      <w:rFonts w:cs="Arial"/>
      <w:color w:val="auto"/>
      <w:szCs w:val="20"/>
      <w:u w:val="none"/>
      <w:lang w:eastAsia="ar-SA"/>
    </w:rPr>
  </w:style>
  <w:style w:type="character" w:styleId="ListLabel124">
    <w:name w:val="ListLabel 124"/>
    <w:qFormat/>
    <w:rPr>
      <w:color w:val="auto"/>
      <w:u w:val="none"/>
    </w:rPr>
  </w:style>
  <w:style w:type="character" w:styleId="ListLabel125">
    <w:name w:val="ListLabel 125"/>
    <w:qFormat/>
    <w:rPr>
      <w:rFonts w:cs="Arial"/>
      <w:color w:val="auto"/>
      <w:u w:val="none"/>
    </w:rPr>
  </w:style>
  <w:style w:type="character" w:styleId="ListLabel126">
    <w:name w:val="ListLabel 126"/>
    <w:qFormat/>
    <w:rPr>
      <w:b/>
      <w:sz w:val="24"/>
      <w:szCs w:val="24"/>
    </w:rPr>
  </w:style>
  <w:style w:type="character" w:styleId="ListLabel127">
    <w:name w:val="ListLabel 127"/>
    <w:qFormat/>
    <w:rPr>
      <w:b/>
    </w:rPr>
  </w:style>
  <w:style w:type="character" w:styleId="ListLabel128">
    <w:name w:val="ListLabel 128"/>
    <w:qFormat/>
    <w:rPr>
      <w:rFonts w:ascii="Calibri" w:hAnsi="Calibri"/>
      <w:b/>
      <w:i w:val="false"/>
      <w:iCs/>
      <w:sz w:val="24"/>
      <w:szCs w:val="24"/>
    </w:rPr>
  </w:style>
  <w:style w:type="character" w:styleId="ListLabel129">
    <w:name w:val="ListLabel 129"/>
    <w:qFormat/>
    <w:rPr>
      <w:rFonts w:ascii="Calibri" w:hAnsi="Calibri" w:cs="Arial"/>
      <w:b/>
      <w:bCs/>
      <w:i w:val="false"/>
      <w:iCs/>
      <w:color w:val="auto"/>
      <w:sz w:val="24"/>
      <w:szCs w:val="24"/>
    </w:rPr>
  </w:style>
  <w:style w:type="character" w:styleId="ListLabel130">
    <w:name w:val="ListLabel 130"/>
    <w:qFormat/>
    <w:rPr>
      <w:b/>
    </w:rPr>
  </w:style>
  <w:style w:type="character" w:styleId="ListLabel131">
    <w:name w:val="ListLabel 131"/>
    <w:qFormat/>
    <w:rPr>
      <w:b w:val="false"/>
      <w:i w:val="false"/>
      <w:iCs/>
    </w:rPr>
  </w:style>
  <w:style w:type="character" w:styleId="ListLabel132">
    <w:name w:val="ListLabel 132"/>
    <w:qFormat/>
    <w:rPr>
      <w:rFonts w:cs="Arial"/>
      <w:b w:val="false"/>
      <w:i w:val="false"/>
      <w:iCs/>
      <w:color w:val="auto"/>
    </w:rPr>
  </w:style>
  <w:style w:type="character" w:styleId="ListLabel133">
    <w:name w:val="ListLabel 133"/>
    <w:qFormat/>
    <w:rPr>
      <w:b/>
    </w:rPr>
  </w:style>
  <w:style w:type="character" w:styleId="ListLabel134">
    <w:name w:val="ListLabel 134"/>
    <w:qFormat/>
    <w:rPr>
      <w:b w:val="false"/>
      <w:i w:val="false"/>
      <w:iCs/>
    </w:rPr>
  </w:style>
  <w:style w:type="character" w:styleId="ListLabel135">
    <w:name w:val="ListLabel 135"/>
    <w:qFormat/>
    <w:rPr>
      <w:b w:val="false"/>
      <w:i w:val="false"/>
      <w:iCs/>
      <w:color w:val="auto"/>
    </w:rPr>
  </w:style>
  <w:style w:type="character" w:styleId="ListLabel136">
    <w:name w:val="ListLabel 136"/>
    <w:qFormat/>
    <w:rPr>
      <w:rFonts w:cs="Arial"/>
      <w:color w:val="auto"/>
      <w:szCs w:val="20"/>
      <w:u w:val="none"/>
    </w:rPr>
  </w:style>
  <w:style w:type="character" w:styleId="ListLabel137">
    <w:name w:val="ListLabel 137"/>
    <w:qFormat/>
    <w:rPr>
      <w:rFonts w:cs="Arial"/>
      <w:bCs/>
      <w:color w:val="auto"/>
      <w:szCs w:val="20"/>
      <w:u w:val="none"/>
    </w:rPr>
  </w:style>
  <w:style w:type="character" w:styleId="ListLabel138">
    <w:name w:val="ListLabel 138"/>
    <w:qFormat/>
    <w:rPr>
      <w:rFonts w:eastAsia="Calibri" w:cs="Arial"/>
      <w:color w:val="auto"/>
      <w:szCs w:val="20"/>
      <w:u w:val="none"/>
    </w:rPr>
  </w:style>
  <w:style w:type="character" w:styleId="ListLabel139">
    <w:name w:val="ListLabel 139"/>
    <w:qFormat/>
    <w:rPr>
      <w:rFonts w:cs="Arial"/>
      <w:bCs/>
      <w:color w:val="auto"/>
      <w:u w:val="none"/>
    </w:rPr>
  </w:style>
  <w:style w:type="character" w:styleId="ListLabel140">
    <w:name w:val="ListLabel 140"/>
    <w:qFormat/>
    <w:rPr>
      <w:rFonts w:cs="Arial"/>
      <w:iCs/>
      <w:color w:val="auto"/>
      <w:szCs w:val="20"/>
      <w:u w:val="none"/>
      <w:lang w:eastAsia="en-US"/>
    </w:rPr>
  </w:style>
  <w:style w:type="character" w:styleId="ListLabel141">
    <w:name w:val="ListLabel 141"/>
    <w:qFormat/>
    <w:rPr>
      <w:rFonts w:cs="Arial"/>
      <w:color w:val="auto"/>
      <w:szCs w:val="20"/>
      <w:u w:val="none"/>
      <w:lang w:eastAsia="ar-SA"/>
    </w:rPr>
  </w:style>
  <w:style w:type="character" w:styleId="ListLabel142">
    <w:name w:val="ListLabel 142"/>
    <w:qFormat/>
    <w:rPr>
      <w:color w:val="auto"/>
      <w:u w:val="none"/>
    </w:rPr>
  </w:style>
  <w:style w:type="character" w:styleId="ListLabel143">
    <w:name w:val="ListLabel 143"/>
    <w:qFormat/>
    <w:rPr>
      <w:rFonts w:cs="Arial"/>
      <w:color w:val="auto"/>
      <w:u w:val="none"/>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link w:val="CorpodetextoChar"/>
    <w:rsid w:val="00c074da"/>
    <w:pPr>
      <w:spacing w:lineRule="auto" w:line="276" w:before="0" w:after="140"/>
    </w:pPr>
    <w:rPr/>
  </w:style>
  <w:style w:type="paragraph" w:styleId="Lista">
    <w:name w:val="List"/>
    <w:basedOn w:val="Corpodetexto"/>
    <w:rsid w:val="00c074da"/>
    <w:pPr/>
    <w:rPr>
      <w:rFonts w:cs="Free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c074da"/>
    <w:pPr>
      <w:suppressLineNumbers/>
    </w:pPr>
    <w:rPr>
      <w:rFonts w:cs="FreeSans"/>
    </w:rPr>
  </w:style>
  <w:style w:type="paragraph" w:styleId="Ttulododocumento">
    <w:name w:val="Title"/>
    <w:basedOn w:val="Normal"/>
    <w:link w:val="TtuloChar"/>
    <w:qFormat/>
    <w:rsid w:val="00c074da"/>
    <w:pPr>
      <w:keepNext w:val="true"/>
      <w:spacing w:before="240" w:after="120"/>
    </w:pPr>
    <w:rPr>
      <w:rFonts w:ascii="Liberation Sans" w:hAnsi="Liberation Sans" w:eastAsia="Noto Sans CJK SC" w:cs="FreeSans"/>
      <w:sz w:val="28"/>
      <w:szCs w:val="28"/>
    </w:rPr>
  </w:style>
  <w:style w:type="paragraph" w:styleId="Caption">
    <w:name w:val="caption"/>
    <w:basedOn w:val="Normal"/>
    <w:qFormat/>
    <w:rsid w:val="00c074da"/>
    <w:pPr>
      <w:suppressLineNumbers/>
      <w:spacing w:before="120" w:after="120"/>
    </w:pPr>
    <w:rPr>
      <w:rFonts w:cs="FreeSans"/>
      <w:i/>
      <w:iCs/>
      <w:sz w:val="24"/>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c074da"/>
    <w:pPr>
      <w:numPr>
        <w:ilvl w:val="0"/>
        <w:numId w:val="0"/>
      </w:numPr>
      <w:spacing w:before="480" w:after="120"/>
      <w:ind w:right="-15" w:hanging="0"/>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c074da"/>
    <w:pPr>
      <w:spacing w:before="0" w:after="0"/>
      <w:ind w:left="720" w:hanging="0"/>
      <w:contextualSpacing/>
    </w:pPr>
    <w:rPr/>
  </w:style>
  <w:style w:type="paragraph" w:styleId="Citao2" w:customStyle="1">
    <w:name w:val="citação 2"/>
    <w:basedOn w:val="Quote"/>
    <w:qFormat/>
    <w:rsid w:val="00c074da"/>
    <w:pPr>
      <w:shd w:val="clear" w:fill="FFFFCC"/>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c074da"/>
    <w:pPr/>
    <w:rPr>
      <w:szCs w:val="20"/>
    </w:rPr>
  </w:style>
  <w:style w:type="paragraph" w:styleId="Annotationsubject">
    <w:name w:val="annotation subject"/>
    <w:basedOn w:val="Annotationtext"/>
    <w:link w:val="AssuntodocomentrioChar"/>
    <w:uiPriority w:val="99"/>
    <w:semiHidden/>
    <w:unhideWhenUsed/>
    <w:qFormat/>
    <w:rsid w:val="00c074da"/>
    <w:pPr/>
    <w:rPr>
      <w:b/>
      <w:bCs/>
    </w:rPr>
  </w:style>
  <w:style w:type="paragraph" w:styleId="Nivel1" w:customStyle="1">
    <w:name w:val="Nivel1"/>
    <w:basedOn w:val="Ttulo1"/>
    <w:qFormat/>
    <w:rsid w:val="00c074da"/>
    <w:pPr>
      <w:numPr>
        <w:ilvl w:val="0"/>
        <w:numId w:val="0"/>
      </w:numPr>
      <w:spacing w:before="480" w:after="120"/>
      <w:ind w:left="644" w:hanging="0"/>
    </w:pPr>
    <w:rPr>
      <w:rFonts w:cs="Times New Roman"/>
      <w:b w:val="false"/>
      <w:color w:val="000000"/>
      <w:szCs w:val="20"/>
    </w:rPr>
  </w:style>
  <w:style w:type="paragraph" w:styleId="Nivel2" w:customStyle="1">
    <w:name w:val="Nivel 2"/>
    <w:qFormat/>
    <w:rsid w:val="00c074da"/>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auto"/>
    </w:rPr>
  </w:style>
  <w:style w:type="paragraph" w:styleId="Nivel5" w:customStyle="1">
    <w:name w:val="Nivel 5"/>
    <w:basedOn w:val="Nivel4"/>
    <w:qFormat/>
    <w:rsid w:val="00c074da"/>
    <w:pPr>
      <w:tabs>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Cabealho">
    <w:name w:val="Header"/>
    <w:basedOn w:val="Normal"/>
    <w:link w:val="CabealhoChar"/>
    <w:uiPriority w:val="99"/>
    <w:unhideWhenUsed/>
    <w:rsid w:val="00c074da"/>
    <w:pPr>
      <w:tabs>
        <w:tab w:val="center" w:pos="4252" w:leader="none"/>
        <w:tab w:val="right" w:pos="8504" w:leader="none"/>
      </w:tabs>
    </w:pPr>
    <w:rPr/>
  </w:style>
  <w:style w:type="paragraph" w:styleId="Rodap">
    <w:name w:val="Footer"/>
    <w:basedOn w:val="Normal"/>
    <w:link w:val="RodapChar"/>
    <w:uiPriority w:val="99"/>
    <w:unhideWhenUsed/>
    <w:rsid w:val="00c074da"/>
    <w:pPr>
      <w:tabs>
        <w:tab w:val="center" w:pos="4252" w:leader="none"/>
        <w:tab w:val="right" w:pos="8504" w:leader="none"/>
      </w:tabs>
    </w:pPr>
    <w:rPr/>
  </w:style>
  <w:style w:type="paragraph" w:styleId="Nivel01Titulo" w:customStyle="1">
    <w:name w:val="Nivel_01_Titulo"/>
    <w:basedOn w:val="Ttulo1"/>
    <w:next w:val="Normal"/>
    <w:qFormat/>
    <w:rsid w:val="00c074da"/>
    <w:pPr>
      <w:numPr>
        <w:ilvl w:val="0"/>
        <w:numId w:val="0"/>
      </w:numPr>
      <w:tabs>
        <w:tab w:val="left" w:pos="360" w:leader="none"/>
        <w:tab w:val="left" w:pos="567" w:leader="none"/>
      </w:tabs>
    </w:pPr>
    <w:rPr>
      <w:rFonts w:cs="Times New Roman"/>
      <w:b w:val="false"/>
      <w:bCs/>
      <w:szCs w:val="20"/>
    </w:rPr>
  </w:style>
  <w:style w:type="paragraph" w:styleId="Revision">
    <w:name w:val="Revision"/>
    <w:uiPriority w:val="99"/>
    <w:semiHidden/>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OCHeading">
    <w:name w:val="TOC Heading"/>
    <w:basedOn w:val="Ttulo1"/>
    <w:next w:val="Normal"/>
    <w:uiPriority w:val="39"/>
    <w:unhideWhenUsed/>
    <w:qFormat/>
    <w:rsid w:val="00781aff"/>
    <w:pPr>
      <w:keepNext w:val="true"/>
      <w:keepLines/>
      <w:numPr>
        <w:ilvl w:val="0"/>
        <w:numId w:val="0"/>
      </w:numPr>
      <w:suppressAutoHyphens w:val="false"/>
      <w:spacing w:lineRule="auto" w:line="259" w:before="240" w:after="0"/>
      <w:jc w:val="left"/>
      <w:textAlignment w:val="auto"/>
    </w:pPr>
    <w:rPr>
      <w:rFonts w:ascii="Calibri Light" w:hAnsi="Calibri Light" w:eastAsia="" w:cs="Times New Roman" w:asciiTheme="majorHAnsi" w:cstheme="majorBidi" w:eastAsiaTheme="majorEastAsia" w:hAnsiTheme="majorHAnsi"/>
      <w:b w:val="false"/>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before="0" w:after="100"/>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uiPriority w:val="39"/>
    <w:rsid w:val="00c074da"/>
    <w:pPr>
      <w:spacing w:after="0" w:line="240" w:lineRule="auto"/>
    </w:pPr>
    <w:rPr>
      <w:rFonts w:eastAsiaTheme="minorEastAsia"/>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gov.br/compras/pt-br/acesso-a-informacao/legislacao/instrucoes-normativas/instrucao-normativa-seges-me-no-67-de-8-de-julho-de-2021" TargetMode="External"/><Relationship Id="rId5" Type="http://schemas.openxmlformats.org/officeDocument/2006/relationships/hyperlink" Target="http://www.gov.br/compras" TargetMode="External"/><Relationship Id="rId6" Type="http://schemas.openxmlformats.org/officeDocument/2006/relationships/hyperlink" Target="http://www.pncp.gov.br/" TargetMode="External"/><Relationship Id="rId7" Type="http://schemas.openxmlformats.org/officeDocument/2006/relationships/hyperlink" Target="https://www.gov.br/compras/pt-br/sistemas/conheca-o-compras/aplicativo-compras" TargetMode="External"/><Relationship Id="rId8" Type="http://schemas.openxmlformats.org/officeDocument/2006/relationships/hyperlink" Target="http://www.planalto.gov.br/ccivil_03/LEIS/L6404consol.htm" TargetMode="External"/><Relationship Id="rId9" Type="http://schemas.openxmlformats.org/officeDocument/2006/relationships/hyperlink" Target="https://www3.comprasnet.gov.br/sicaf-web/index.jsf" TargetMode="External"/><Relationship Id="rId10" Type="http://schemas.openxmlformats.org/officeDocument/2006/relationships/hyperlink" Target="https://portaldatransparencia.gov.br/sancoes/consulta?cadastro=1%2C2" TargetMode="External"/><Relationship Id="rId11" Type="http://schemas.openxmlformats.org/officeDocument/2006/relationships/hyperlink" Target="https://portaldatransparencia.gov.br/sancoes/consulta?cadastro=1%2C2"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1-2014/2013/lei/l12846.htm"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Application>LibreOffice/6.0.7.3$Linux_X86_64 LibreOffice_project/00m0$Build-3</Application>
  <Pages>16</Pages>
  <Words>4982</Words>
  <Characters>28524</Characters>
  <CharactersWithSpaces>33145</CharactersWithSpaces>
  <Paragraphs>225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2022-11-01T20:02:00Z</dcterms:created>
  <dc:creator/>
  <dc:description/>
  <dc:language>pt-BR</dc:language>
  <cp:lastModifiedBy/>
  <cp:lastPrinted>2023-06-15T20:20:53Z</cp:lastPrinted>
  <dcterms:modified xsi:type="dcterms:W3CDTF">2023-06-16T14:46:01Z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